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16" w:rsidRPr="00C37116" w:rsidRDefault="00C37116" w:rsidP="00C37116">
      <w:pPr>
        <w:shd w:val="clear" w:color="auto" w:fill="FFFFFF"/>
        <w:spacing w:before="527" w:after="527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4D4D4D"/>
          <w:sz w:val="49"/>
          <w:szCs w:val="49"/>
        </w:rPr>
      </w:pPr>
      <w:r w:rsidRPr="00C37116">
        <w:rPr>
          <w:rFonts w:ascii="Arial" w:eastAsia="Times New Roman" w:hAnsi="Arial" w:cs="Arial"/>
          <w:b/>
          <w:bCs/>
          <w:caps/>
          <w:color w:val="4D4D4D"/>
          <w:sz w:val="49"/>
          <w:szCs w:val="49"/>
        </w:rPr>
        <w:t>ПРАВИТЕЛЬСТВО ОРЕНБУРГСКОЙ ОБЛАСТИ</w:t>
      </w:r>
    </w:p>
    <w:p w:rsidR="00C37116" w:rsidRPr="00C37116" w:rsidRDefault="00C37116" w:rsidP="00C37116">
      <w:pPr>
        <w:shd w:val="clear" w:color="auto" w:fill="FFFFFF"/>
        <w:spacing w:before="597" w:after="597" w:line="240" w:lineRule="auto"/>
        <w:rPr>
          <w:rFonts w:ascii="Arial" w:eastAsia="Times New Roman" w:hAnsi="Arial" w:cs="Arial"/>
          <w:color w:val="333333"/>
          <w:sz w:val="49"/>
          <w:szCs w:val="49"/>
        </w:rPr>
      </w:pPr>
      <w:r w:rsidRPr="00C37116">
        <w:rPr>
          <w:rFonts w:ascii="Arial" w:eastAsia="Times New Roman" w:hAnsi="Arial" w:cs="Arial"/>
          <w:color w:val="333333"/>
          <w:sz w:val="49"/>
          <w:szCs w:val="49"/>
        </w:rPr>
        <w:pict>
          <v:rect id="_x0000_i1025" style="width:0;height:1.75pt" o:hralign="center" o:hrstd="t" o:hr="t" fillcolor="#a0a0a0" stroked="f"/>
        </w:pict>
      </w:r>
    </w:p>
    <w:p w:rsidR="00C37116" w:rsidRPr="00C37116" w:rsidRDefault="00C37116" w:rsidP="00C37116">
      <w:pPr>
        <w:shd w:val="clear" w:color="auto" w:fill="FFFFFF"/>
        <w:spacing w:before="527" w:after="527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4D4D4D"/>
          <w:kern w:val="36"/>
          <w:sz w:val="49"/>
          <w:szCs w:val="49"/>
        </w:rPr>
      </w:pPr>
      <w:r w:rsidRPr="00C37116">
        <w:rPr>
          <w:rFonts w:ascii="Arial" w:eastAsia="Times New Roman" w:hAnsi="Arial" w:cs="Arial"/>
          <w:b/>
          <w:bCs/>
          <w:caps/>
          <w:color w:val="4D4D4D"/>
          <w:kern w:val="36"/>
          <w:sz w:val="49"/>
          <w:szCs w:val="49"/>
        </w:rPr>
        <w:t>ПОСТАНОВЛЕНИЕ ПРАВИТЕЛЬСТВА ОРЕНБУРГСКОЙ ОБЛАСТИ ОТ 23 ДЕКАБРЯ 2021 Г. N 1241-ПП "ОБ УСТАНОВЛЕНИИ ПРЕДЕЛЬНОГО РАЗМЕРА ПЛАТЫ ЗА ПРОВЕДЕНИЕ ТЕХНИЧЕСКОГО ОСМОТРА ТРАНСПОРТНЫХ СРЕДСТВ В ОРЕНБУРГСКОЙ ОБЛАСТИ"</w:t>
      </w:r>
    </w:p>
    <w:p w:rsidR="00C37116" w:rsidRPr="00C37116" w:rsidRDefault="00C37116" w:rsidP="00C3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49"/>
          <w:szCs w:val="49"/>
        </w:rPr>
      </w:pPr>
      <w:r w:rsidRPr="00C37116">
        <w:rPr>
          <w:rFonts w:ascii="Arial" w:eastAsia="Times New Roman" w:hAnsi="Arial" w:cs="Arial"/>
          <w:color w:val="333333"/>
          <w:sz w:val="49"/>
          <w:szCs w:val="49"/>
        </w:rPr>
        <w:br/>
      </w:r>
    </w:p>
    <w:p w:rsidR="00C37116" w:rsidRPr="00C37116" w:rsidRDefault="00C37116" w:rsidP="00C371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72"/>
          <w:szCs w:val="72"/>
        </w:rPr>
      </w:pPr>
      <w:proofErr w:type="gramStart"/>
      <w:r w:rsidRPr="00C37116">
        <w:rPr>
          <w:rFonts w:ascii="Times New Roman" w:eastAsia="Times New Roman" w:hAnsi="Times New Roman" w:cs="Times New Roman"/>
          <w:color w:val="333333"/>
          <w:sz w:val="72"/>
          <w:szCs w:val="72"/>
        </w:rPr>
        <w:t>В соответствии с </w:t>
      </w:r>
      <w:hyperlink r:id="rId4" w:history="1">
        <w:r w:rsidRPr="00C37116">
          <w:rPr>
            <w:rFonts w:ascii="Times New Roman" w:eastAsia="Times New Roman" w:hAnsi="Times New Roman" w:cs="Times New Roman"/>
            <w:color w:val="808080"/>
            <w:sz w:val="72"/>
            <w:szCs w:val="72"/>
          </w:rPr>
          <w:t>Федеральном законом</w:t>
        </w:r>
      </w:hyperlink>
      <w:r w:rsidRPr="00C37116">
        <w:rPr>
          <w:rFonts w:ascii="Times New Roman" w:eastAsia="Times New Roman" w:hAnsi="Times New Roman" w:cs="Times New Roman"/>
          <w:color w:val="333333"/>
          <w:sz w:val="72"/>
          <w:szCs w:val="72"/>
        </w:rPr>
        <w:t> от 1 июля 2011 года N 170-ФЗ "О техническом осмотре транспортных средств и о внесении изменений в отдельные законодательные акты Российской Федерации", </w:t>
      </w:r>
      <w:hyperlink r:id="rId5" w:history="1">
        <w:r w:rsidRPr="00C37116">
          <w:rPr>
            <w:rFonts w:ascii="Times New Roman" w:eastAsia="Times New Roman" w:hAnsi="Times New Roman" w:cs="Times New Roman"/>
            <w:color w:val="808080"/>
            <w:sz w:val="72"/>
            <w:szCs w:val="72"/>
          </w:rPr>
          <w:t>постановлением</w:t>
        </w:r>
      </w:hyperlink>
      <w:r w:rsidRPr="00C37116">
        <w:rPr>
          <w:rFonts w:ascii="Times New Roman" w:eastAsia="Times New Roman" w:hAnsi="Times New Roman" w:cs="Times New Roman"/>
          <w:color w:val="333333"/>
          <w:sz w:val="72"/>
          <w:szCs w:val="72"/>
        </w:rPr>
        <w:t> Правительства Российской Федерации от 15 сентября 2020 года N 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Федерации", </w:t>
      </w:r>
      <w:hyperlink r:id="rId6" w:history="1">
        <w:r w:rsidRPr="00C37116">
          <w:rPr>
            <w:rFonts w:ascii="Times New Roman" w:eastAsia="Times New Roman" w:hAnsi="Times New Roman" w:cs="Times New Roman"/>
            <w:color w:val="808080"/>
            <w:sz w:val="72"/>
            <w:szCs w:val="72"/>
          </w:rPr>
          <w:t>постановлением</w:t>
        </w:r>
      </w:hyperlink>
      <w:r w:rsidRPr="00C37116">
        <w:rPr>
          <w:rFonts w:ascii="Times New Roman" w:eastAsia="Times New Roman" w:hAnsi="Times New Roman" w:cs="Times New Roman"/>
          <w:color w:val="333333"/>
          <w:sz w:val="72"/>
          <w:szCs w:val="72"/>
        </w:rPr>
        <w:t> Правительства Российской</w:t>
      </w:r>
      <w:proofErr w:type="gramEnd"/>
      <w:r w:rsidRPr="00C37116">
        <w:rPr>
          <w:rFonts w:ascii="Times New Roman" w:eastAsia="Times New Roman" w:hAnsi="Times New Roman" w:cs="Times New Roman"/>
          <w:color w:val="333333"/>
          <w:sz w:val="72"/>
          <w:szCs w:val="72"/>
        </w:rPr>
        <w:t xml:space="preserve"> Федерации от 15 сентября 2020 года N 1433 "Об утверждении Правил проведения технического осмотра транспортных средств городского наземного электрического транспорта" Правительство Оренбургской области постановляет:</w:t>
      </w:r>
    </w:p>
    <w:p w:rsidR="00C37116" w:rsidRPr="00C37116" w:rsidRDefault="00C37116" w:rsidP="00C371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72"/>
          <w:szCs w:val="72"/>
        </w:rPr>
      </w:pPr>
      <w:r w:rsidRPr="00C37116">
        <w:rPr>
          <w:rFonts w:ascii="Times New Roman" w:eastAsia="Times New Roman" w:hAnsi="Times New Roman" w:cs="Times New Roman"/>
          <w:color w:val="333333"/>
          <w:sz w:val="72"/>
          <w:szCs w:val="72"/>
        </w:rPr>
        <w:t>1. Установить предельный размер платы за проведение технического осмотра транспортных средств в Оренбургской области согласно </w:t>
      </w:r>
      <w:hyperlink r:id="rId7" w:anchor="block_5" w:history="1">
        <w:r w:rsidRPr="00C37116">
          <w:rPr>
            <w:rFonts w:ascii="Times New Roman" w:eastAsia="Times New Roman" w:hAnsi="Times New Roman" w:cs="Times New Roman"/>
            <w:color w:val="808080"/>
            <w:sz w:val="72"/>
            <w:szCs w:val="72"/>
          </w:rPr>
          <w:t>приложению</w:t>
        </w:r>
      </w:hyperlink>
      <w:r w:rsidRPr="00C37116">
        <w:rPr>
          <w:rFonts w:ascii="Times New Roman" w:eastAsia="Times New Roman" w:hAnsi="Times New Roman" w:cs="Times New Roman"/>
          <w:color w:val="333333"/>
          <w:sz w:val="72"/>
          <w:szCs w:val="72"/>
        </w:rPr>
        <w:t>.</w:t>
      </w:r>
    </w:p>
    <w:p w:rsidR="00C37116" w:rsidRPr="00C37116" w:rsidRDefault="00C37116" w:rsidP="00C371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72"/>
          <w:szCs w:val="72"/>
        </w:rPr>
      </w:pPr>
      <w:r w:rsidRPr="00C37116">
        <w:rPr>
          <w:rFonts w:ascii="Times New Roman" w:eastAsia="Times New Roman" w:hAnsi="Times New Roman" w:cs="Times New Roman"/>
          <w:color w:val="333333"/>
          <w:sz w:val="72"/>
          <w:szCs w:val="72"/>
        </w:rPr>
        <w:t>2. Признать утратившим силу </w:t>
      </w:r>
      <w:hyperlink r:id="rId8" w:history="1">
        <w:r w:rsidRPr="00C37116">
          <w:rPr>
            <w:rFonts w:ascii="Times New Roman" w:eastAsia="Times New Roman" w:hAnsi="Times New Roman" w:cs="Times New Roman"/>
            <w:color w:val="808080"/>
            <w:sz w:val="72"/>
            <w:szCs w:val="72"/>
          </w:rPr>
          <w:t>постановление</w:t>
        </w:r>
      </w:hyperlink>
      <w:r w:rsidRPr="00C37116">
        <w:rPr>
          <w:rFonts w:ascii="Times New Roman" w:eastAsia="Times New Roman" w:hAnsi="Times New Roman" w:cs="Times New Roman"/>
          <w:color w:val="333333"/>
          <w:sz w:val="72"/>
          <w:szCs w:val="72"/>
        </w:rPr>
        <w:t> Правительства Оренбургской области от 11 октября 2018 года N 662-п "Об установлении предельного размера платы за проведение технического осмотра транспортных средств в Оренбургской области".</w:t>
      </w:r>
    </w:p>
    <w:p w:rsidR="00C37116" w:rsidRPr="00C37116" w:rsidRDefault="00C37116" w:rsidP="00C371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72"/>
          <w:szCs w:val="72"/>
        </w:rPr>
      </w:pPr>
      <w:r w:rsidRPr="00C37116">
        <w:rPr>
          <w:rFonts w:ascii="Times New Roman" w:eastAsia="Times New Roman" w:hAnsi="Times New Roman" w:cs="Times New Roman"/>
          <w:color w:val="333333"/>
          <w:sz w:val="72"/>
          <w:szCs w:val="72"/>
        </w:rPr>
        <w:t xml:space="preserve">3. </w:t>
      </w:r>
      <w:proofErr w:type="gramStart"/>
      <w:r w:rsidRPr="00C37116">
        <w:rPr>
          <w:rFonts w:ascii="Times New Roman" w:eastAsia="Times New Roman" w:hAnsi="Times New Roman" w:cs="Times New Roman"/>
          <w:color w:val="333333"/>
          <w:sz w:val="72"/>
          <w:szCs w:val="72"/>
        </w:rPr>
        <w:t>Контроль за</w:t>
      </w:r>
      <w:proofErr w:type="gramEnd"/>
      <w:r w:rsidRPr="00C37116">
        <w:rPr>
          <w:rFonts w:ascii="Times New Roman" w:eastAsia="Times New Roman" w:hAnsi="Times New Roman" w:cs="Times New Roman"/>
          <w:color w:val="333333"/>
          <w:sz w:val="72"/>
          <w:szCs w:val="72"/>
        </w:rPr>
        <w:t xml:space="preserve"> исполнением настоящего постановления возложить на вице-губернатора - заместителя председателя Правительства Оренбургской области по экономической и инвестиционной политике Оренбургской области.</w:t>
      </w:r>
    </w:p>
    <w:p w:rsidR="00C37116" w:rsidRPr="00C37116" w:rsidRDefault="00C37116" w:rsidP="00C3711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49"/>
          <w:szCs w:val="49"/>
        </w:rPr>
      </w:pPr>
      <w:r w:rsidRPr="00C37116">
        <w:rPr>
          <w:rFonts w:ascii="Times New Roman" w:eastAsia="Times New Roman" w:hAnsi="Times New Roman" w:cs="Times New Roman"/>
          <w:color w:val="333333"/>
          <w:sz w:val="72"/>
          <w:szCs w:val="72"/>
        </w:rPr>
        <w:t>4. Постановление вступает в силу после его </w:t>
      </w:r>
      <w:hyperlink r:id="rId9" w:history="1">
        <w:r w:rsidRPr="00C37116">
          <w:rPr>
            <w:rFonts w:ascii="Times New Roman" w:eastAsia="Times New Roman" w:hAnsi="Times New Roman" w:cs="Times New Roman"/>
            <w:color w:val="808080"/>
            <w:sz w:val="72"/>
            <w:szCs w:val="72"/>
          </w:rPr>
          <w:t>официального опубликования</w:t>
        </w:r>
      </w:hyperlink>
      <w:r w:rsidRPr="00C37116">
        <w:rPr>
          <w:rFonts w:ascii="Arial" w:eastAsia="Times New Roman" w:hAnsi="Arial" w:cs="Arial"/>
          <w:color w:val="333333"/>
          <w:sz w:val="49"/>
          <w:szCs w:val="49"/>
        </w:rPr>
        <w:t>.</w:t>
      </w:r>
    </w:p>
    <w:p w:rsidR="00C37116" w:rsidRPr="00C37116" w:rsidRDefault="00C37116" w:rsidP="00C3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52"/>
          <w:szCs w:val="52"/>
        </w:rPr>
      </w:pPr>
    </w:p>
    <w:tbl>
      <w:tblPr>
        <w:tblW w:w="5062" w:type="pct"/>
        <w:tblCellMar>
          <w:left w:w="0" w:type="dxa"/>
          <w:right w:w="0" w:type="dxa"/>
        </w:tblCellMar>
        <w:tblLook w:val="04A0"/>
      </w:tblPr>
      <w:tblGrid>
        <w:gridCol w:w="6313"/>
        <w:gridCol w:w="3158"/>
      </w:tblGrid>
      <w:tr w:rsidR="00C37116" w:rsidRPr="00C37116" w:rsidTr="00C37116">
        <w:trPr>
          <w:trHeight w:val="201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C37116">
              <w:rPr>
                <w:rFonts w:ascii="Times New Roman" w:eastAsia="Times New Roman" w:hAnsi="Times New Roman" w:cs="Times New Roman"/>
                <w:sz w:val="52"/>
                <w:szCs w:val="52"/>
              </w:rPr>
              <w:t>Губернатор - председатель Правительства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C37116">
              <w:rPr>
                <w:rFonts w:ascii="Times New Roman" w:eastAsia="Times New Roman" w:hAnsi="Times New Roman" w:cs="Times New Roman"/>
                <w:sz w:val="52"/>
                <w:szCs w:val="52"/>
              </w:rPr>
              <w:t>Д.В. </w:t>
            </w:r>
            <w:proofErr w:type="spellStart"/>
            <w:r w:rsidRPr="00C37116">
              <w:rPr>
                <w:rFonts w:ascii="Times New Roman" w:eastAsia="Times New Roman" w:hAnsi="Times New Roman" w:cs="Times New Roman"/>
                <w:sz w:val="52"/>
                <w:szCs w:val="52"/>
              </w:rPr>
              <w:t>Паслер</w:t>
            </w:r>
            <w:proofErr w:type="spellEnd"/>
          </w:p>
        </w:tc>
      </w:tr>
    </w:tbl>
    <w:p w:rsidR="00C37116" w:rsidRPr="00C37116" w:rsidRDefault="00C37116" w:rsidP="00C3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49"/>
          <w:szCs w:val="49"/>
        </w:rPr>
      </w:pPr>
    </w:p>
    <w:p w:rsidR="00C37116" w:rsidRPr="00C37116" w:rsidRDefault="00C37116" w:rsidP="00C37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56"/>
          <w:szCs w:val="56"/>
        </w:rPr>
      </w:pPr>
      <w:r w:rsidRPr="00C37116">
        <w:rPr>
          <w:rFonts w:ascii="Times New Roman" w:eastAsia="Times New Roman" w:hAnsi="Times New Roman" w:cs="Times New Roman"/>
          <w:color w:val="333333"/>
          <w:sz w:val="56"/>
          <w:szCs w:val="56"/>
        </w:rPr>
        <w:t>Приложение</w:t>
      </w:r>
      <w:r w:rsidRPr="00C37116">
        <w:rPr>
          <w:rFonts w:ascii="Times New Roman" w:eastAsia="Times New Roman" w:hAnsi="Times New Roman" w:cs="Times New Roman"/>
          <w:color w:val="333333"/>
          <w:sz w:val="56"/>
          <w:szCs w:val="56"/>
        </w:rPr>
        <w:br/>
        <w:t>к </w:t>
      </w:r>
      <w:hyperlink r:id="rId10" w:history="1">
        <w:r w:rsidRPr="00C37116">
          <w:rPr>
            <w:rFonts w:ascii="Times New Roman" w:eastAsia="Times New Roman" w:hAnsi="Times New Roman" w:cs="Times New Roman"/>
            <w:color w:val="808080"/>
            <w:sz w:val="56"/>
            <w:szCs w:val="56"/>
          </w:rPr>
          <w:t>постановлению</w:t>
        </w:r>
      </w:hyperlink>
      <w:r w:rsidRPr="00C37116">
        <w:rPr>
          <w:rFonts w:ascii="Times New Roman" w:eastAsia="Times New Roman" w:hAnsi="Times New Roman" w:cs="Times New Roman"/>
          <w:color w:val="333333"/>
          <w:sz w:val="56"/>
          <w:szCs w:val="56"/>
        </w:rPr>
        <w:br/>
        <w:t>Правительства области</w:t>
      </w:r>
      <w:r w:rsidRPr="00C37116">
        <w:rPr>
          <w:rFonts w:ascii="Times New Roman" w:eastAsia="Times New Roman" w:hAnsi="Times New Roman" w:cs="Times New Roman"/>
          <w:color w:val="333333"/>
          <w:sz w:val="56"/>
          <w:szCs w:val="56"/>
        </w:rPr>
        <w:br/>
        <w:t>от 23.12.2021 N 1241-пп</w:t>
      </w:r>
    </w:p>
    <w:p w:rsidR="00C37116" w:rsidRPr="00C37116" w:rsidRDefault="00C37116" w:rsidP="00C3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49"/>
          <w:szCs w:val="49"/>
        </w:rPr>
      </w:pPr>
      <w:r w:rsidRPr="00C37116">
        <w:rPr>
          <w:rFonts w:ascii="Arial" w:eastAsia="Times New Roman" w:hAnsi="Arial" w:cs="Arial"/>
          <w:color w:val="333333"/>
          <w:sz w:val="49"/>
          <w:szCs w:val="49"/>
        </w:rPr>
        <w:br/>
      </w:r>
    </w:p>
    <w:p w:rsidR="00C37116" w:rsidRPr="00C37116" w:rsidRDefault="00C37116" w:rsidP="00C371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49"/>
          <w:szCs w:val="49"/>
        </w:rPr>
      </w:pPr>
      <w:r w:rsidRPr="00C37116">
        <w:rPr>
          <w:rFonts w:ascii="Arial" w:eastAsia="Times New Roman" w:hAnsi="Arial" w:cs="Arial"/>
          <w:b/>
          <w:bCs/>
          <w:color w:val="333333"/>
          <w:sz w:val="49"/>
          <w:szCs w:val="49"/>
        </w:rPr>
        <w:t>Предельный размер платы</w:t>
      </w:r>
      <w:r w:rsidRPr="00C37116">
        <w:rPr>
          <w:rFonts w:ascii="Arial" w:eastAsia="Times New Roman" w:hAnsi="Arial" w:cs="Arial"/>
          <w:b/>
          <w:bCs/>
          <w:color w:val="333333"/>
          <w:sz w:val="49"/>
          <w:szCs w:val="49"/>
        </w:rPr>
        <w:br/>
        <w:t>за проведение технического осмотра транспортных средств в Оренбургской области</w:t>
      </w:r>
    </w:p>
    <w:p w:rsidR="00C37116" w:rsidRPr="00C37116" w:rsidRDefault="00C37116" w:rsidP="00C371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49"/>
          <w:szCs w:val="49"/>
        </w:rPr>
      </w:pPr>
    </w:p>
    <w:tbl>
      <w:tblPr>
        <w:tblW w:w="313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9"/>
        <w:gridCol w:w="7167"/>
        <w:gridCol w:w="22758"/>
      </w:tblGrid>
      <w:tr w:rsidR="00C37116" w:rsidRPr="00C37116" w:rsidTr="00C37116"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N</w:t>
            </w: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br/>
            </w:r>
            <w:proofErr w:type="spellStart"/>
            <w:proofErr w:type="gramStart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п</w:t>
            </w:r>
            <w:proofErr w:type="spellEnd"/>
            <w:proofErr w:type="gramEnd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/</w:t>
            </w:r>
            <w:proofErr w:type="spellStart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п</w:t>
            </w:r>
            <w:proofErr w:type="spellEnd"/>
          </w:p>
        </w:tc>
        <w:tc>
          <w:tcPr>
            <w:tcW w:w="7194" w:type="dxa"/>
            <w:tcBorders>
              <w:top w:val="single" w:sz="12" w:space="0" w:color="000000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proofErr w:type="gramStart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Категория транспортного средства </w:t>
            </w:r>
            <w:hyperlink r:id="rId11" w:anchor="block_6" w:history="1">
              <w:r w:rsidRPr="00C37116">
                <w:rPr>
                  <w:rFonts w:ascii="Times New Roman" w:eastAsia="Times New Roman" w:hAnsi="Times New Roman" w:cs="Times New Roman"/>
                  <w:b/>
                  <w:color w:val="808080"/>
                  <w:sz w:val="48"/>
                  <w:szCs w:val="48"/>
                  <w:vertAlign w:val="superscript"/>
                </w:rPr>
                <w:t>*)</w:t>
              </w:r>
            </w:hyperlink>
            <w:proofErr w:type="gramEnd"/>
          </w:p>
        </w:tc>
        <w:tc>
          <w:tcPr>
            <w:tcW w:w="23066" w:type="dxa"/>
            <w:tcBorders>
              <w:top w:val="single" w:sz="12" w:space="0" w:color="000000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Предельный размер платы</w:t>
            </w: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br/>
              <w:t>(рублей)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3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M1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474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2.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М</w:t>
            </w:r>
            <w:proofErr w:type="gramStart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2</w:t>
            </w:r>
            <w:proofErr w:type="gramEnd"/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872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3.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М3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1 049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4.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N1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506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5.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N2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995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6.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N3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1 074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7.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О</w:t>
            </w:r>
            <w:proofErr w:type="gramStart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</w:t>
            </w:r>
            <w:proofErr w:type="gramEnd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, О2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395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8.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О3, О</w:t>
            </w:r>
            <w:proofErr w:type="gramStart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4</w:t>
            </w:r>
            <w:proofErr w:type="gramEnd"/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695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9.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L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158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10.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Специальные транспортные средства оперативных служб (на базе M1)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506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11.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Специальные транспортные средства оперативных служб (на базе М</w:t>
            </w:r>
            <w:proofErr w:type="gramStart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2</w:t>
            </w:r>
            <w:proofErr w:type="gramEnd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)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932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12.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Специальные транспортные средства оперативных служб (на базе М3)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1 074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13.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Специальные транспортные средства оперативных служб (на базе N1), транспортные средства - цистерны (на базе N1), транспортные средства - цистерны для перевозки и заправки сжиженных углеводородных газов (на базе N1), транспортные средства - фургоны (на базе N1), транспортные средства - фургоны, имеющие места для перевозки людей (на базе N1), </w:t>
            </w:r>
            <w:proofErr w:type="spellStart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автоэвакуаторы</w:t>
            </w:r>
            <w:proofErr w:type="spellEnd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 (на базе N1)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537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14.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proofErr w:type="gramStart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Специальные транспортные средства оперативных служб (на базе N2), </w:t>
            </w:r>
            <w:proofErr w:type="spellStart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автоэвакуаторы</w:t>
            </w:r>
            <w:proofErr w:type="spellEnd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 (на базе N2), транспортные средства с грузоподъемными устройствами (на базе N2), транспортные средства - цистерны (на базе N2), транспортные средства - цистерны для перевозки и заправки сжиженных углеводородных газов (на базе N2), транспортные средства - фургоны (на базе N2), транспортные средства - цистерны (на базе N2), транспортные средства для перевозки пищевых продуктов (на базе N2)</w:t>
            </w:r>
            <w:proofErr w:type="gramEnd"/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1 043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15.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Специальные транспортные средства оперативных служб (на базе N3), </w:t>
            </w:r>
            <w:proofErr w:type="spellStart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автоэвакуаторы</w:t>
            </w:r>
            <w:proofErr w:type="spellEnd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 (на базе N3), транспортные средства с грузоподъемными устройствами (на базе N3), транспортные средства - цистерны (на базе N3), транспортные средства </w:t>
            </w:r>
            <w:proofErr w:type="gramStart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-ц</w:t>
            </w:r>
            <w:proofErr w:type="gramEnd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истерны для перевозки и заправки сжиженных углеводородных газов (на базе N3), транспортные средства - фургоны (на базе N3), транспортные средства для перевозки пищевых продуктов (на базе N3)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1 122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16.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Специальные транспортные средства оперативных служб (на базе О</w:t>
            </w:r>
            <w:proofErr w:type="gramStart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</w:t>
            </w:r>
            <w:proofErr w:type="gramEnd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, О2), транспортные средства - цистерны (на базе О1, О2), транспортные средства - цистерны для перевозки и заправки сжиженных углеводородных газов (на базе О1, О2), транспортные средства - фургоны (на базе О1, О2), транспортные средства для перевозки пищевых продуктов (на базе О1, О2)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411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17.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Специальные транспортные средства оперативных служб (на базе О3, О</w:t>
            </w:r>
            <w:proofErr w:type="gramStart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4</w:t>
            </w:r>
            <w:proofErr w:type="gramEnd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), </w:t>
            </w:r>
            <w:proofErr w:type="spellStart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автоэвакуаторы</w:t>
            </w:r>
            <w:proofErr w:type="spellEnd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 (на базе О3, О4), транспортные средства с грузоподъемными устройствами (на базе О3, О4), транспортные средства - цистерны (на базе О3, О4), транспортные средства - цистерны для перевозки и заправки сжиженных углеводородных газов (на базе О3, О4), транспортные средства - фургоны (на базе О3, О4), транспортные средства для перевозки пищевых продуктов (на базе О3, О</w:t>
            </w:r>
            <w:proofErr w:type="gramStart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4</w:t>
            </w:r>
            <w:proofErr w:type="gramEnd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)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727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18.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Специальные транспортные средства оперативных служб (на базе L)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174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19.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Специализированные транспортные средства (на базе N1), транспортные средства - цистерны для перевозки и заправки нефтепродуктов (на базе N1)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585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20.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Специализированные транспортные средства (на базе N2), транспортные средства - цистерны для перевозки и заправки нефтепродуктов (на базе N2), транспортные средства - фургоны, имеющие места для перевозки людей (на базе N2)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1 138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21.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Специализированные транспортные средства (на базе N3), транспортные средства - фургоны, имеющие места для перевозки людей (на базе N3), транспортные средства - цистерны для перевозки и заправки нефтепродуктов (на базе N3)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1 232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22.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Специализированные транспортные средства (на базе О</w:t>
            </w:r>
            <w:proofErr w:type="gramStart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</w:t>
            </w:r>
            <w:proofErr w:type="gramEnd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, О2)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458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23.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Специализированные транспортные средства (на базе О3, О</w:t>
            </w:r>
            <w:proofErr w:type="gramStart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4</w:t>
            </w:r>
            <w:proofErr w:type="gramEnd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)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806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24.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Специальные транспортные средства для коммунального хозяйства и содержания дорог (на базе N1)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553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25.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Специальные транспортные средства для коммунального хозяйства и содержания дорог (на базе N2), транспортные средства для перевозки грузов с использованием прицепа-роспуска (на базе N2)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1 090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26.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Специальные транспортные средства для коммунального хозяйства и содержания дорог (на базе N3), транспортные средства для перевозки грузов с использованием прицепа-роспуска (на базе N3)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1 185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27.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Специальные транспортные средства для коммунального хозяйства и содержания дорог (на базе О</w:t>
            </w:r>
            <w:proofErr w:type="gramStart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</w:t>
            </w:r>
            <w:proofErr w:type="gramEnd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, О2), транспортные средства - цистерны для перевозки и заправки нефтепродуктов (на базе О1, О2)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442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28.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Специальные транспортные средства для коммунального хозяйства и содержания дорог (на базе О3, О</w:t>
            </w:r>
            <w:proofErr w:type="gramStart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4</w:t>
            </w:r>
            <w:proofErr w:type="gramEnd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), транспортные средства - цистерны для перевозки и заправки нефтепродуктов (на базе О3, О4)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758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29.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Транспортные средства для перевозки опасных грузов (на базе N1)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664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30.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Транспортные средства для перевозки опасных грузов (на базе N2)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1 296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31.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Транспортные средства для перевозки опасных грузов (на базе N3)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1 390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32.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Транспортные средства для перевозки опасных грузов (на базе О</w:t>
            </w:r>
            <w:proofErr w:type="gramStart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1</w:t>
            </w:r>
            <w:proofErr w:type="gramEnd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, О2)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474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33.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Транспортные средства для перевозки опасных грузов (на базе О3, О</w:t>
            </w:r>
            <w:proofErr w:type="gramStart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4</w:t>
            </w:r>
            <w:proofErr w:type="gramEnd"/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)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837</w:t>
            </w:r>
          </w:p>
        </w:tc>
      </w:tr>
      <w:tr w:rsidR="00C37116" w:rsidRPr="00C37116" w:rsidTr="00C37116">
        <w:tc>
          <w:tcPr>
            <w:tcW w:w="1054" w:type="dxa"/>
            <w:tcBorders>
              <w:top w:val="single" w:sz="12" w:space="0" w:color="D6DEE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34.</w:t>
            </w:r>
          </w:p>
        </w:tc>
        <w:tc>
          <w:tcPr>
            <w:tcW w:w="7194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Городской наземный электрический транспорт</w:t>
            </w:r>
          </w:p>
        </w:tc>
        <w:tc>
          <w:tcPr>
            <w:tcW w:w="23066" w:type="dxa"/>
            <w:tcBorders>
              <w:top w:val="single" w:sz="12" w:space="0" w:color="D6DEE9"/>
              <w:left w:val="single" w:sz="12" w:space="0" w:color="D6DEE9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11" w:type="dxa"/>
              <w:left w:w="351" w:type="dxa"/>
              <w:bottom w:w="211" w:type="dxa"/>
              <w:right w:w="351" w:type="dxa"/>
            </w:tcMar>
            <w:hideMark/>
          </w:tcPr>
          <w:p w:rsidR="00C37116" w:rsidRPr="00C37116" w:rsidRDefault="00C37116" w:rsidP="00C3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C37116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790</w:t>
            </w:r>
          </w:p>
        </w:tc>
      </w:tr>
    </w:tbl>
    <w:p w:rsidR="00C37116" w:rsidRPr="00C37116" w:rsidRDefault="00C37116" w:rsidP="00C371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48"/>
          <w:szCs w:val="48"/>
        </w:rPr>
      </w:pPr>
      <w:r w:rsidRPr="00C37116">
        <w:rPr>
          <w:rFonts w:ascii="Arial" w:eastAsia="Times New Roman" w:hAnsi="Arial" w:cs="Arial"/>
          <w:b/>
          <w:color w:val="333333"/>
          <w:sz w:val="48"/>
          <w:szCs w:val="48"/>
        </w:rPr>
        <w:br/>
      </w:r>
    </w:p>
    <w:p w:rsidR="00C37116" w:rsidRPr="00C37116" w:rsidRDefault="00C37116" w:rsidP="00C37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48"/>
          <w:szCs w:val="48"/>
        </w:rPr>
      </w:pPr>
      <w:r w:rsidRPr="00C37116">
        <w:rPr>
          <w:rFonts w:ascii="Courier New" w:eastAsia="Times New Roman" w:hAnsi="Courier New" w:cs="Courier New"/>
          <w:b/>
          <w:color w:val="333333"/>
          <w:sz w:val="48"/>
          <w:szCs w:val="48"/>
        </w:rPr>
        <w:t>------------------------------</w:t>
      </w:r>
    </w:p>
    <w:p w:rsidR="00C37116" w:rsidRPr="00C37116" w:rsidRDefault="00C37116" w:rsidP="00C3711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333333"/>
          <w:sz w:val="52"/>
          <w:szCs w:val="52"/>
        </w:rPr>
      </w:pPr>
      <w:proofErr w:type="gramStart"/>
      <w:r w:rsidRPr="00C37116">
        <w:rPr>
          <w:rFonts w:ascii="Arial" w:eastAsia="Times New Roman" w:hAnsi="Arial" w:cs="Arial"/>
          <w:b/>
          <w:color w:val="333333"/>
          <w:sz w:val="24"/>
          <w:szCs w:val="24"/>
        </w:rPr>
        <w:t>*) </w:t>
      </w:r>
      <w:r w:rsidRPr="00C37116">
        <w:rPr>
          <w:rFonts w:ascii="Arial" w:eastAsia="Times New Roman" w:hAnsi="Arial" w:cs="Arial"/>
          <w:b/>
          <w:color w:val="333333"/>
          <w:sz w:val="52"/>
          <w:szCs w:val="52"/>
          <w:vertAlign w:val="subscript"/>
        </w:rPr>
        <w:t>Категории транспортных средств соответствуют классификации, установленной </w:t>
      </w:r>
      <w:hyperlink r:id="rId12" w:anchor="block_11000" w:history="1">
        <w:r w:rsidRPr="00C37116">
          <w:rPr>
            <w:rFonts w:ascii="Arial" w:eastAsia="Times New Roman" w:hAnsi="Arial" w:cs="Arial"/>
            <w:b/>
            <w:color w:val="808080"/>
            <w:sz w:val="52"/>
            <w:szCs w:val="52"/>
            <w:vertAlign w:val="subscript"/>
          </w:rPr>
          <w:t>приложением N 1</w:t>
        </w:r>
      </w:hyperlink>
      <w:r w:rsidRPr="00C37116">
        <w:rPr>
          <w:rFonts w:ascii="Arial" w:eastAsia="Times New Roman" w:hAnsi="Arial" w:cs="Arial"/>
          <w:b/>
          <w:color w:val="333333"/>
          <w:sz w:val="52"/>
          <w:szCs w:val="52"/>
          <w:vertAlign w:val="subscript"/>
        </w:rPr>
        <w:t> к техническому регламенту Таможенного союза "О безопасности колесных транспортных средств" (TP ТС 018/2011).</w:t>
      </w:r>
      <w:proofErr w:type="gramEnd"/>
    </w:p>
    <w:p w:rsidR="00C473A5" w:rsidRPr="00C37116" w:rsidRDefault="00C473A5">
      <w:pPr>
        <w:rPr>
          <w:rFonts w:ascii="Times New Roman" w:hAnsi="Times New Roman" w:cs="Times New Roman"/>
          <w:b/>
          <w:sz w:val="52"/>
          <w:szCs w:val="52"/>
        </w:rPr>
      </w:pPr>
    </w:p>
    <w:sectPr w:rsidR="00C473A5" w:rsidRPr="00C3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43"/>
  <w:proofState w:spelling="clean" w:grammar="clean"/>
  <w:defaultTabStop w:val="708"/>
  <w:characterSpacingControl w:val="doNotCompress"/>
  <w:compat>
    <w:useFELayout/>
  </w:compat>
  <w:rsids>
    <w:rsidRoot w:val="00C37116"/>
    <w:rsid w:val="006B44C0"/>
    <w:rsid w:val="00C37116"/>
    <w:rsid w:val="00C4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7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371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1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3711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1">
    <w:name w:val="s_1"/>
    <w:basedOn w:val="a"/>
    <w:rsid w:val="00C3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37116"/>
    <w:rPr>
      <w:color w:val="0000FF"/>
      <w:u w:val="single"/>
    </w:rPr>
  </w:style>
  <w:style w:type="paragraph" w:customStyle="1" w:styleId="s16">
    <w:name w:val="s_16"/>
    <w:basedOn w:val="a"/>
    <w:rsid w:val="00C3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C3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3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37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711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5830112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403311464/" TargetMode="External"/><Relationship Id="rId12" Type="http://schemas.openxmlformats.org/officeDocument/2006/relationships/hyperlink" Target="http://base.garant.ru/70106658/00cfe3602830d7b2aff92d83717072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4647792/" TargetMode="External"/><Relationship Id="rId11" Type="http://schemas.openxmlformats.org/officeDocument/2006/relationships/hyperlink" Target="http://base.garant.ru/403311464/" TargetMode="External"/><Relationship Id="rId5" Type="http://schemas.openxmlformats.org/officeDocument/2006/relationships/hyperlink" Target="http://base.garant.ru/74671754/" TargetMode="External"/><Relationship Id="rId10" Type="http://schemas.openxmlformats.org/officeDocument/2006/relationships/hyperlink" Target="http://base.garant.ru/403311464/" TargetMode="External"/><Relationship Id="rId4" Type="http://schemas.openxmlformats.org/officeDocument/2006/relationships/hyperlink" Target="http://base.garant.ru/12187349/" TargetMode="External"/><Relationship Id="rId9" Type="http://schemas.openxmlformats.org/officeDocument/2006/relationships/hyperlink" Target="http://base.garant.ru/40331146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1080</Words>
  <Characters>6160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2022-01-19T11:43:00Z</dcterms:created>
  <dcterms:modified xsi:type="dcterms:W3CDTF">2022-01-19T11:43:00Z</dcterms:modified>
</cp:coreProperties>
</file>