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BF" w:rsidRDefault="000C4EBF">
      <w:pPr>
        <w:pStyle w:val="ConsPlusTitlePage"/>
      </w:pPr>
      <w:bookmarkStart w:id="0" w:name="_GoBack"/>
      <w:bookmarkEnd w:id="0"/>
      <w:r>
        <w:br/>
      </w:r>
    </w:p>
    <w:p w:rsidR="000C4EBF" w:rsidRDefault="000C4EBF">
      <w:pPr>
        <w:pStyle w:val="ConsPlusNormal"/>
        <w:jc w:val="both"/>
        <w:outlineLvl w:val="0"/>
      </w:pPr>
    </w:p>
    <w:p w:rsidR="000C4EBF" w:rsidRDefault="000C4EBF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C4EBF" w:rsidRDefault="000C4EBF">
      <w:pPr>
        <w:pStyle w:val="ConsPlusTitle"/>
        <w:jc w:val="center"/>
      </w:pPr>
    </w:p>
    <w:p w:rsidR="000C4EBF" w:rsidRDefault="000C4EBF">
      <w:pPr>
        <w:pStyle w:val="ConsPlusTitle"/>
        <w:jc w:val="center"/>
      </w:pPr>
      <w:r>
        <w:t>ПОСТАНОВЛЕНИЕ</w:t>
      </w:r>
    </w:p>
    <w:p w:rsidR="000C4EBF" w:rsidRDefault="000C4EBF">
      <w:pPr>
        <w:pStyle w:val="ConsPlusTitle"/>
        <w:jc w:val="center"/>
      </w:pPr>
      <w:r>
        <w:t>от 15 сентября 2020 г. N 1433</w:t>
      </w:r>
    </w:p>
    <w:p w:rsidR="000C4EBF" w:rsidRDefault="000C4EBF">
      <w:pPr>
        <w:pStyle w:val="ConsPlusTitle"/>
        <w:jc w:val="center"/>
      </w:pPr>
    </w:p>
    <w:p w:rsidR="000C4EBF" w:rsidRDefault="000C4EBF">
      <w:pPr>
        <w:pStyle w:val="ConsPlusTitle"/>
        <w:jc w:val="center"/>
      </w:pPr>
      <w:r>
        <w:t>ОБ УТВЕРЖДЕНИИ ПРАВИЛ</w:t>
      </w:r>
    </w:p>
    <w:p w:rsidR="000C4EBF" w:rsidRDefault="000C4EBF">
      <w:pPr>
        <w:pStyle w:val="ConsPlusTitle"/>
        <w:jc w:val="center"/>
      </w:pPr>
      <w:r>
        <w:t>ПРОВЕДЕНИЯ ТЕХНИЧЕСКОГО ОСМОТРА ТРАНСПОРТНЫХ СРЕДСТВ</w:t>
      </w:r>
    </w:p>
    <w:p w:rsidR="000C4EBF" w:rsidRDefault="000C4EBF">
      <w:pPr>
        <w:pStyle w:val="ConsPlusTitle"/>
        <w:jc w:val="center"/>
      </w:pPr>
      <w:r>
        <w:t>ГОРОДСКОГО НАЗЕМНОГО ЭЛЕКТРИЧЕСКОГО ТРАНСПОРТА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"О техническом осмотре транспортных средств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7" w:history="1">
        <w:r>
          <w:rPr>
            <w:color w:val="0000FF"/>
          </w:rPr>
          <w:t>Правила</w:t>
        </w:r>
      </w:hyperlink>
      <w:r>
        <w:t xml:space="preserve"> проведения технического осмотра транспортных средств городского наземного электрического транспорта.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Настоящее постановление вступает в силу со дня вступления в силу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"О внесении изменений в Федеральный закон "О техническом осмотре транспортных средств и о внесении изменений в отдельные законодательные акты Российской Федерации" и отдельные законодательные акты Российской Федерации" и действует в течение 6 лет со дня его вступления в силу.</w:t>
      </w:r>
      <w:proofErr w:type="gramEnd"/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right"/>
      </w:pPr>
      <w:r>
        <w:t>Председатель Правительства</w:t>
      </w:r>
    </w:p>
    <w:p w:rsidR="000C4EBF" w:rsidRDefault="000C4EBF">
      <w:pPr>
        <w:pStyle w:val="ConsPlusNormal"/>
        <w:jc w:val="right"/>
      </w:pPr>
      <w:r>
        <w:t>Российской Федерации</w:t>
      </w:r>
    </w:p>
    <w:p w:rsidR="000C4EBF" w:rsidRDefault="000C4EBF">
      <w:pPr>
        <w:pStyle w:val="ConsPlusNormal"/>
        <w:jc w:val="right"/>
      </w:pPr>
      <w:r>
        <w:t>М.МИШУСТИН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right"/>
        <w:outlineLvl w:val="0"/>
      </w:pPr>
      <w:r>
        <w:t>Утверждены</w:t>
      </w:r>
    </w:p>
    <w:p w:rsidR="000C4EBF" w:rsidRDefault="000C4EBF">
      <w:pPr>
        <w:pStyle w:val="ConsPlusNormal"/>
        <w:jc w:val="right"/>
      </w:pPr>
      <w:r>
        <w:t>постановлением Правительства</w:t>
      </w:r>
    </w:p>
    <w:p w:rsidR="000C4EBF" w:rsidRDefault="000C4EBF">
      <w:pPr>
        <w:pStyle w:val="ConsPlusNormal"/>
        <w:jc w:val="right"/>
      </w:pPr>
      <w:r>
        <w:t>Российской Федерации</w:t>
      </w:r>
    </w:p>
    <w:p w:rsidR="000C4EBF" w:rsidRDefault="000C4EBF">
      <w:pPr>
        <w:pStyle w:val="ConsPlusNormal"/>
        <w:jc w:val="right"/>
      </w:pPr>
      <w:r>
        <w:t>от 15 сентября 2020 г. N 1433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</w:pPr>
      <w:bookmarkStart w:id="1" w:name="P27"/>
      <w:bookmarkEnd w:id="1"/>
      <w:r>
        <w:t>ПРАВИЛА</w:t>
      </w:r>
    </w:p>
    <w:p w:rsidR="000C4EBF" w:rsidRDefault="000C4EBF">
      <w:pPr>
        <w:pStyle w:val="ConsPlusTitle"/>
        <w:jc w:val="center"/>
      </w:pPr>
      <w:r>
        <w:t>ПРОВЕДЕНИЯ ТЕХНИЧЕСКОГО ОСМОТРА ТРАНСПОРТНЫХ СРЕДСТВ</w:t>
      </w:r>
    </w:p>
    <w:p w:rsidR="000C4EBF" w:rsidRDefault="000C4EBF">
      <w:pPr>
        <w:pStyle w:val="ConsPlusTitle"/>
        <w:jc w:val="center"/>
      </w:pPr>
      <w:r>
        <w:t>ГОРОДСКОГО НАЗЕМНОГО ЭЛЕКТРИЧЕСКОГО ТРАНСПОРТА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1"/>
      </w:pPr>
      <w:r>
        <w:t>I. Общие положения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>1. Настоящие Правила устанавливают:</w:t>
      </w:r>
    </w:p>
    <w:p w:rsidR="000C4EBF" w:rsidRDefault="000C4EBF">
      <w:pPr>
        <w:pStyle w:val="ConsPlusNormal"/>
        <w:spacing w:before="220"/>
        <w:ind w:firstLine="540"/>
        <w:jc w:val="both"/>
      </w:pPr>
      <w:proofErr w:type="gramStart"/>
      <w:r>
        <w:t>а) порядок и периодичность оказания услуг по проведению технического осмотра транспортных средств городского наземного электрического транспорта (далее - транспортные средства), включая процедуру подтверждения соответствия транспортных средств (в том числе их частей, предметов их дополнительного оборудования) обязательным требованиям безопасности транспортных средств, проводимую в форме технического диагностирования, в целях допуска транспортных средств к участию в дорожном движении на территории Российской Федерации и вслучаях</w:t>
      </w:r>
      <w:proofErr w:type="gramEnd"/>
      <w:r>
        <w:t xml:space="preserve">, </w:t>
      </w:r>
      <w:proofErr w:type="gramStart"/>
      <w:r>
        <w:t>предусмотренных</w:t>
      </w:r>
      <w:proofErr w:type="gramEnd"/>
      <w:r>
        <w:t xml:space="preserve"> международными договорами Российской Федерации, также за ее пределами (далее - технический осмотр);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lastRenderedPageBreak/>
        <w:t>б) особенности проведения технического осмотра вне пунктов технического осмотра с использованием передвижных диагностических линий;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в) порядок аннулирования диагностической карты.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2. Технический осмотр проводится со следующей периодичностью: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а) каждые 12 месяцев - в отношении транспортных средств, предназначенных для перевозки пассажиров, с года выпуска в обращение которых прошло не более чем 5 лет;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б) каждые 6 месяцев - в отношении транспортных средств, предназначенных для перевозки пассажиров, с года выпуска в обращение которых прошло более чем 5 лет;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в) каждые 12 месяцев - в отношении транспортных средств, предназначенных для перевозки грузов и специальных транспортных средств (снегоуборочных, музейных и измерительных лабораторий).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3. Обязательные требования безопасности транспортных средств, предъявляемые при проведении технического осмотра к троллейбусам, приведены в </w:t>
      </w:r>
      <w:hyperlink w:anchor="P84" w:history="1">
        <w:r>
          <w:rPr>
            <w:color w:val="0000FF"/>
          </w:rPr>
          <w:t>приложении N 1</w:t>
        </w:r>
      </w:hyperlink>
      <w:r>
        <w:t xml:space="preserve">. Обязательные требования безопасности транспортных средств, предъявляемые при проведении технического осмотра к трамвайным вагонам, приведены в </w:t>
      </w:r>
      <w:hyperlink w:anchor="P168" w:history="1">
        <w:r>
          <w:rPr>
            <w:color w:val="0000FF"/>
          </w:rPr>
          <w:t>приложении N 2</w:t>
        </w:r>
      </w:hyperlink>
      <w:r>
        <w:t>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4. При проведении технического осмотра к транспортным средствам не применяются требования, касающиеся наличия подлежащих проверке элементов конструкции, которые не были предусмотрены на транспортном средстве на момент его выпуска в обращение, при условии отсутствия внесения изменений в его конструкцию в части указанных элементов и содержащих их узлов и агрегатов.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5. Технический осмотр проводится операторами технического осмотра, аккредитованными в установленном порядке в области осуществления деятельности по проведению технического осмотра транспортных средств городского наземного электрического транспорта (далее - операторы технического осмотра).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6. Проведение технического осмотра осуществляется на платной основе в соответствии с договором о проведении технического осмотра, заключаемым владельцем транспортного средства или его представителем, в том числе представителем, действующим на основании доверенности, оформленной в письменной форме (далее - заявитель), и оператором технического осмотра по типовой форме, утвержденной Министерством экономического развития Российской Федерации.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Размер платы за проведение технического осмотра и размер платы за проведение повторного технического осмотра, который определяется объемом выполненных работ, устанавливаются оператором технического осмотра и не могут превышать предельный размер платы за проведение технического осмотра, установленный высшим исполнительным органом государственной власти субъекта Российской Федерации в соответствии с методикой, утвержденной Федеральной антимонопольной службой.</w:t>
      </w:r>
      <w:proofErr w:type="gramEnd"/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Операторы технического осмотра обеспечивают размещение в информационно-телекоммуникационной сети "Интернет" и в удобном для ознакомления владельцами транспортных средств месте и виде в пунктах технического осмотра и местах работы передвижных диагностических линий (при наличии) текста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"О техническом осмотре транспортных средств и о внесении изменений в отдельные законодательные акты Российской Федерации", настоящих Правил, информации справочного характера (в том числе адресов операторатехнического</w:t>
      </w:r>
      <w:proofErr w:type="gramEnd"/>
      <w:r>
        <w:t xml:space="preserve"> </w:t>
      </w:r>
      <w:proofErr w:type="gramStart"/>
      <w:r>
        <w:t xml:space="preserve">осмотра, пунктов технического осмотра и мест работы передвижных диагностических линий (при наличии), номеров телефонов, адреса электронной почты, адреса сайта оператора технического осмотра в информационно-телекоммуникационной сети </w:t>
      </w:r>
      <w:r>
        <w:lastRenderedPageBreak/>
        <w:t>"Интернет"), актуальной информации о режиме работы пунктов технического осмотра и передвижных диагностических линий (при наличии), информации о размерах платы за проведение технического осмотра и платы за проведение повторного технического осмотра, перечня документов, необходимых для прохождения</w:t>
      </w:r>
      <w:proofErr w:type="gramEnd"/>
      <w:r>
        <w:t xml:space="preserve"> технического осмотра, копии аттестата аккредитации оператора технического осмотра и сведений о наличии передвижных диагностических линий (при наличии), типовой формы договора о проведении технического осмотра, а также информации о возможности предварительной записи на технический осмотр.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1"/>
      </w:pPr>
      <w:r>
        <w:t>II. Порядок оказания услуг по проведению</w:t>
      </w:r>
    </w:p>
    <w:p w:rsidR="000C4EBF" w:rsidRDefault="000C4EBF">
      <w:pPr>
        <w:pStyle w:val="ConsPlusTitle"/>
        <w:jc w:val="center"/>
      </w:pPr>
      <w:r>
        <w:t>технического осмотра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9. </w:t>
      </w:r>
      <w:proofErr w:type="gramStart"/>
      <w:r>
        <w:t xml:space="preserve">Технический осмотр проводится с использованием средств технического диагностирования непосредственно в месте размещения трамвайного депо или троллейбусного парка при условии обеспечения всех необходимых производственных и организационных условий для проведения технического осмотра, предусмотренных в соответствии с требованиями актов, разработка которых предусмотрена </w:t>
      </w:r>
      <w:hyperlink r:id="rId7" w:history="1">
        <w:r>
          <w:rPr>
            <w:color w:val="0000FF"/>
          </w:rPr>
          <w:t>пунктом 9 статьи 8</w:t>
        </w:r>
      </w:hyperlink>
      <w: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Федерации".</w:t>
      </w:r>
      <w:proofErr w:type="gramEnd"/>
    </w:p>
    <w:p w:rsidR="000C4EBF" w:rsidRDefault="000C4EBF">
      <w:pPr>
        <w:pStyle w:val="ConsPlusNormal"/>
        <w:spacing w:before="220"/>
        <w:ind w:firstLine="540"/>
        <w:jc w:val="both"/>
      </w:pPr>
      <w:r>
        <w:t>Допускается использование передвижной диагностической линии, обеспечивающей выполнение в полном объеме процедуры технического осмотра, в соответствии с требованиями к производственно-технической базе, фотографическому изображению транспортного средства, к точности определения координат места проведения технического диагностирования, утверждаемыми Министерством транспорта Российской Федерации. Передвижная диагностическая линия должна использоваться непосредственно в месте размещения трамвайного депо или троллейбусного парка.</w:t>
      </w:r>
    </w:p>
    <w:p w:rsidR="000C4EBF" w:rsidRDefault="000C4EBF">
      <w:pPr>
        <w:pStyle w:val="ConsPlusNormal"/>
        <w:spacing w:before="220"/>
        <w:ind w:firstLine="540"/>
        <w:jc w:val="both"/>
      </w:pPr>
      <w:bookmarkStart w:id="2" w:name="P53"/>
      <w:bookmarkEnd w:id="2"/>
      <w:r>
        <w:t xml:space="preserve">10. Для проведения технического осмотра заявитель обращается к любому оператору технического осмотра в любой пункт технического осмотра и </w:t>
      </w:r>
      <w:proofErr w:type="gramStart"/>
      <w:r>
        <w:t>представляет транспортное средство</w:t>
      </w:r>
      <w:proofErr w:type="gramEnd"/>
      <w:r>
        <w:t xml:space="preserve"> и следующие документы: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а) документ, удостоверяющий личность (в случае если заявителем является юридическое лицо, представляется документ, удостоверяющий личность представителя юридического лица, действующего на основании доверенности, оформленной в письменной форме);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б) документ, идентифицирующий транспортное средство (паспорт трамвая, паспорт троллейбуса или иной документ).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11. В случае непредставления заявителем документов, указанных в </w:t>
      </w:r>
      <w:hyperlink w:anchor="P53" w:history="1">
        <w:r>
          <w:rPr>
            <w:color w:val="0000FF"/>
          </w:rPr>
          <w:t>пункте 10</w:t>
        </w:r>
      </w:hyperlink>
      <w:r>
        <w:t xml:space="preserve"> настоящих Правил, либо в случае отказа от оплаты услуг по проведению технического осмотра оператор технического осмотра отказывает заявителю в оказании услуг по проведению технического осмотра.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12. Оператор технического осмотра производит идентификацию номеров компонентов транспортного средства (узлов и агрегатов), инвентарного номера и данных, указанных в документе, идентифицирующем транспортное средство.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При несоответствии номеров компонентов транспортного средства данным документа, идентифицирующего транспортное средство, оператор технического осмотра отказывает заявителю в оказании услуг по проведению технического осмотра.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Информация об отказе в оказании услуг по проведению технического осмотра по основанию несоответствия транспортного средства данным документа, идентифицирующего транспортное средство, вносится оператором технического осмотра в единую автоматизированную информационную систему технического осмотра с указанием выявленных несоответствий.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lastRenderedPageBreak/>
        <w:t>В случае соответствия данных транспортного средства данным документа, идентифицирующего транспортное средство, это транспортное средство допускается к проведению технического диагностирования.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До начала проведения технического диагностирования заявителем производится оплата услуг, оказываемых по договору о проведении технического осмотра, что подтверждает заключение указанного договора.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13. Техническое диагностирование осуществляется техническими экспертами, отвечающими квалификационным требованиям, установленным Министерством промышленности и торговли Российской Федерации, которые уполномочены оператором технического осмотра на проведение такого диагностирования в соответствующем пункте технического осмотра или на соответствующей передвижной диагностической линии и </w:t>
      </w:r>
      <w:proofErr w:type="gramStart"/>
      <w:r>
        <w:t>сведения</w:t>
      </w:r>
      <w:proofErr w:type="gramEnd"/>
      <w:r>
        <w:t xml:space="preserve"> о которых внесены в реестр операторов технического осмотра.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14. Техническое диагностирование проводится с помощью средств технического диагностирования и методов органолептического контроля.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15. Продолжительность технического диагностирования 1 транспортного средства составляет 50 минут.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По результатам технического осмотра оператор оформляет в единой автоматизированной информационной системе технического осмотра диагностическую карту по форме согласно </w:t>
      </w:r>
      <w:hyperlink w:anchor="P252" w:history="1">
        <w:r>
          <w:rPr>
            <w:color w:val="0000FF"/>
          </w:rPr>
          <w:t>приложению N 3</w:t>
        </w:r>
      </w:hyperlink>
      <w:r>
        <w:t>, содержащую заключение о соответствии или несоответствии транспортного средства обязательным требованиям безопасности транспортных средств (подтверждающую или не подтверждающую допуск транспортного средства к участию в дорожном движении), которая подписывается усиленной квалифицированной электронной подписью технического эксперта, проводившего техническое диагностирование транспортного средства.</w:t>
      </w:r>
      <w:proofErr w:type="gramEnd"/>
    </w:p>
    <w:p w:rsidR="000C4EBF" w:rsidRDefault="000C4EBF">
      <w:pPr>
        <w:pStyle w:val="ConsPlusNormal"/>
        <w:spacing w:before="220"/>
        <w:ind w:firstLine="540"/>
        <w:jc w:val="both"/>
      </w:pPr>
      <w:r>
        <w:t>По запросу заявителя оператор технического осмотра выдает диагностическую карту на бумажном носителе, которая заверяется подписью технического эксперта, проводившего техническое диагностирование, и печатью оператора технического осмотра.</w:t>
      </w:r>
    </w:p>
    <w:p w:rsidR="000C4EBF" w:rsidRDefault="00041C6D">
      <w:pPr>
        <w:pStyle w:val="ConsPlusNormal"/>
        <w:spacing w:before="220"/>
        <w:ind w:firstLine="540"/>
        <w:jc w:val="both"/>
      </w:pPr>
      <w:hyperlink r:id="rId8" w:history="1">
        <w:r w:rsidR="000C4EBF">
          <w:rPr>
            <w:color w:val="0000FF"/>
          </w:rPr>
          <w:t>Правила</w:t>
        </w:r>
      </w:hyperlink>
      <w:r w:rsidR="000C4EBF">
        <w:t xml:space="preserve"> заполнения диагностической карты утверждаются Министерством транспорта Российской Федерации.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17. </w:t>
      </w:r>
      <w:proofErr w:type="gramStart"/>
      <w:r>
        <w:t xml:space="preserve">Транспортное средство, в отношении которого оформлена диагностическая карта, содержащая заключение о несоответствии транспортного средства обязательным требованиям безопасности транспортных средств (не подтверждающая допуск транспортного средства к участию в дорожном движении), подлежит повторному техническому осмотру, проводимому в порядке, предусмотренном настоящими Правилами, с учетом особенностей, установленных </w:t>
      </w:r>
      <w:hyperlink r:id="rId9" w:history="1">
        <w:r>
          <w:rPr>
            <w:color w:val="0000FF"/>
          </w:rPr>
          <w:t>статьей 18</w:t>
        </w:r>
      </w:hyperlink>
      <w:r>
        <w:t xml:space="preserve"> Федерального закона "О техническом осмотре транспортных средств и о внесении изменений в отдельные законодательные акты</w:t>
      </w:r>
      <w:proofErr w:type="gramEnd"/>
      <w:r>
        <w:t xml:space="preserve"> Российской Федерации".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1"/>
      </w:pPr>
      <w:r>
        <w:t>III. Порядок аннулирования диагностической карты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18. В случаях, указанных в </w:t>
      </w:r>
      <w:hyperlink r:id="rId10" w:history="1">
        <w:r>
          <w:rPr>
            <w:color w:val="0000FF"/>
          </w:rPr>
          <w:t>части 10 статьи 19</w:t>
        </w:r>
      </w:hyperlink>
      <w: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Федерации", диагностическая карта аннулируется органом государственного контроля (надзора) за организацией и проведением технического осмотра транспортных средств путем </w:t>
      </w:r>
      <w:proofErr w:type="gramStart"/>
      <w:r>
        <w:t>внесения</w:t>
      </w:r>
      <w:proofErr w:type="gramEnd"/>
      <w:r>
        <w:t xml:space="preserve"> уполномоченным должностным лицом этого органа соответствующих сведений в единую автоматизированную информационную систему технического осмотра на основании решения руководителя (заместителя руководителя) такого органа одновременно с принятием решения о привлечении к административной ответственности оператора технического осмотра </w:t>
      </w:r>
      <w:r>
        <w:lastRenderedPageBreak/>
        <w:t xml:space="preserve">транспортного средства в соответствии со </w:t>
      </w:r>
      <w:hyperlink r:id="rId11" w:history="1">
        <w:r>
          <w:rPr>
            <w:color w:val="0000FF"/>
          </w:rPr>
          <w:t>статьей 14.4.1</w:t>
        </w:r>
      </w:hyperlink>
      <w:r>
        <w:t xml:space="preserve"> Кодекса Российской Федерации об административных правонарушениях.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>Орган государственного контроля (надзора) за организацией и проведением технического осмотра транспортных средств в течение 3 рабочих дней со дня аннулирования диагностической карты информирует о таком аннулировании страховщика, заключившего договор обязательного страхования гражданской ответственности владельцев транспортных средств на основании такой диагностической карты, и (или) профессиональное объединение страховщиков, а также собственника транспортного средства.</w:t>
      </w:r>
      <w:proofErr w:type="gramEnd"/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right"/>
        <w:outlineLvl w:val="1"/>
      </w:pPr>
      <w:r>
        <w:t>Приложение N 1</w:t>
      </w:r>
    </w:p>
    <w:p w:rsidR="000C4EBF" w:rsidRDefault="000C4EBF">
      <w:pPr>
        <w:pStyle w:val="ConsPlusNormal"/>
        <w:jc w:val="right"/>
      </w:pPr>
      <w:r>
        <w:t>к Правилам проведения технического</w:t>
      </w:r>
    </w:p>
    <w:p w:rsidR="000C4EBF" w:rsidRDefault="000C4EBF">
      <w:pPr>
        <w:pStyle w:val="ConsPlusNormal"/>
        <w:jc w:val="right"/>
      </w:pPr>
      <w:r>
        <w:t>осмотра транспортных средств городского</w:t>
      </w:r>
    </w:p>
    <w:p w:rsidR="000C4EBF" w:rsidRDefault="000C4EBF">
      <w:pPr>
        <w:pStyle w:val="ConsPlusNormal"/>
        <w:jc w:val="right"/>
      </w:pPr>
      <w:r>
        <w:t>наземного электрического транспорта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</w:pPr>
      <w:bookmarkStart w:id="3" w:name="P84"/>
      <w:bookmarkEnd w:id="3"/>
      <w:r>
        <w:t>ОБЯЗАТЕЛЬНЫЕ ТРЕБОВАНИЯ</w:t>
      </w:r>
    </w:p>
    <w:p w:rsidR="000C4EBF" w:rsidRDefault="000C4EBF">
      <w:pPr>
        <w:pStyle w:val="ConsPlusTitle"/>
        <w:jc w:val="center"/>
      </w:pPr>
      <w:r>
        <w:t>БЕЗОПАСНОСТИ ТРАНСПОРТНЫХ СРЕДСТВ, ПРЕДЪЯВЛЯЕМЫЕ</w:t>
      </w:r>
    </w:p>
    <w:p w:rsidR="000C4EBF" w:rsidRDefault="000C4EBF">
      <w:pPr>
        <w:pStyle w:val="ConsPlusTitle"/>
        <w:jc w:val="center"/>
      </w:pPr>
      <w:r>
        <w:t>ПРИ ПРОВЕДЕНИИ ТЕХНИЧЕСКОГО ОСМОТРА К ТРОЛЛЕЙБУСАМ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I. Требования к тормозным системам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1. Показатели эффективности тормозной системы и устойчивости троллейбуса должны соответствовать </w:t>
      </w:r>
      <w:hyperlink r:id="rId12" w:history="1">
        <w:r>
          <w:rPr>
            <w:color w:val="0000FF"/>
          </w:rPr>
          <w:t>пунктам 1.2</w:t>
        </w:r>
      </w:hyperlink>
      <w:r>
        <w:t xml:space="preserve"> - </w:t>
      </w:r>
      <w:hyperlink r:id="rId13" w:history="1">
        <w:r>
          <w:rPr>
            <w:color w:val="0000FF"/>
          </w:rPr>
          <w:t>1.5</w:t>
        </w:r>
      </w:hyperlink>
      <w:r>
        <w:t xml:space="preserve"> приложения N 8 к техническому регламенту Таможенного союза "О безопасности колесных транспортных средств" (</w:t>
      </w:r>
      <w:proofErr w:type="gramStart"/>
      <w:r>
        <w:t>ТР</w:t>
      </w:r>
      <w:proofErr w:type="gramEnd"/>
      <w:r>
        <w:t xml:space="preserve"> ТС 018/2011), утвержденному решением Комиссии Таможенного союза от 9 декабря 2011 г. N 877 (далее - ТР ТС 018/2011).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2. Стояночная тормозная система троллейбуса должна соответствовать </w:t>
      </w:r>
      <w:hyperlink r:id="rId14" w:history="1">
        <w:r>
          <w:rPr>
            <w:color w:val="0000FF"/>
          </w:rPr>
          <w:t>пунктам 1.8.2</w:t>
        </w:r>
      </w:hyperlink>
      <w:r>
        <w:t xml:space="preserve"> - </w:t>
      </w:r>
      <w:hyperlink r:id="rId15" w:history="1">
        <w:r>
          <w:rPr>
            <w:color w:val="0000FF"/>
          </w:rPr>
          <w:t>1.9.2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3. Тормозная система с пневматическим тормозным приводом (при наличии) в режиме аварийного торможения должна соответствовать </w:t>
      </w:r>
      <w:hyperlink r:id="rId16" w:history="1">
        <w:r>
          <w:rPr>
            <w:color w:val="0000FF"/>
          </w:rPr>
          <w:t>пункту 1.7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4. Не допускаются неисправности пневматического (пневмогидравлического) привода тормозной системы троллейбуса, указанные в </w:t>
      </w:r>
      <w:hyperlink r:id="rId17" w:history="1">
        <w:r>
          <w:rPr>
            <w:color w:val="0000FF"/>
          </w:rPr>
          <w:t>пунктах 1.11</w:t>
        </w:r>
      </w:hyperlink>
      <w:r>
        <w:t xml:space="preserve"> - </w:t>
      </w:r>
      <w:hyperlink r:id="rId18" w:history="1">
        <w:r>
          <w:rPr>
            <w:color w:val="0000FF"/>
          </w:rPr>
          <w:t>1.13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II. Требования к рулевому управлению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5. Действие рулевого управления троллейбуса должно соответствовать </w:t>
      </w:r>
      <w:hyperlink r:id="rId19" w:history="1">
        <w:r>
          <w:rPr>
            <w:color w:val="0000FF"/>
          </w:rPr>
          <w:t>пунктам 2.1</w:t>
        </w:r>
      </w:hyperlink>
      <w:r>
        <w:t xml:space="preserve"> - </w:t>
      </w:r>
      <w:hyperlink r:id="rId20" w:history="1">
        <w:r>
          <w:rPr>
            <w:color w:val="0000FF"/>
          </w:rPr>
          <w:t>2.6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III. Требования к внешним световым приборам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6. На троллейбусах применение внешних световых приборов определяется требованиями </w:t>
      </w:r>
      <w:hyperlink r:id="rId21" w:history="1">
        <w:r>
          <w:rPr>
            <w:color w:val="0000FF"/>
          </w:rPr>
          <w:t>пунктов 3.1</w:t>
        </w:r>
      </w:hyperlink>
      <w:r>
        <w:t xml:space="preserve"> - </w:t>
      </w:r>
      <w:hyperlink r:id="rId22" w:history="1">
        <w:r>
          <w:rPr>
            <w:color w:val="0000FF"/>
          </w:rPr>
          <w:t>3.5</w:t>
        </w:r>
      </w:hyperlink>
      <w:r>
        <w:t xml:space="preserve">, а также </w:t>
      </w:r>
      <w:hyperlink r:id="rId23" w:history="1">
        <w:r>
          <w:rPr>
            <w:color w:val="0000FF"/>
          </w:rPr>
          <w:t>таблицы 3.1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7. Отсутствие, разрушения и загрязнения </w:t>
      </w:r>
      <w:proofErr w:type="spellStart"/>
      <w:r>
        <w:t>рассеивателей</w:t>
      </w:r>
      <w:proofErr w:type="spellEnd"/>
      <w:r>
        <w:t xml:space="preserve"> внешних световых приборов и установка не предусмотренных конструкцией светового прибора оптических элементов (в том числе бесцветных или окрашенных оптических деталей и пленок) не допускаются. Указанное требование не распространяется на оптические элементы, предназначенные для коррекции светового пучка фар в целях приведения его в соответствие с требованиями </w:t>
      </w:r>
      <w:hyperlink r:id="rId24" w:history="1">
        <w:proofErr w:type="gramStart"/>
        <w:r>
          <w:rPr>
            <w:color w:val="0000FF"/>
          </w:rPr>
          <w:t>ТР</w:t>
        </w:r>
        <w:proofErr w:type="gramEnd"/>
        <w:r>
          <w:rPr>
            <w:color w:val="0000FF"/>
          </w:rPr>
          <w:t xml:space="preserve"> ТС 018/2011</w:t>
        </w:r>
      </w:hyperlink>
      <w:r>
        <w:t xml:space="preserve">. В </w:t>
      </w:r>
      <w:r>
        <w:lastRenderedPageBreak/>
        <w:t xml:space="preserve">случае установки оптических элементов, предназначенных для коррекции светового пучка фар в целях приведения его в соответствие с требованиями </w:t>
      </w:r>
      <w:hyperlink r:id="rId25" w:history="1">
        <w:r>
          <w:rPr>
            <w:color w:val="0000FF"/>
          </w:rPr>
          <w:t>ТР ТС 018/2011</w:t>
        </w:r>
      </w:hyperlink>
      <w:r>
        <w:t xml:space="preserve">, подтверждение этого соответствия должно производиться в соответствии с </w:t>
      </w:r>
      <w:hyperlink r:id="rId26" w:history="1">
        <w:r>
          <w:rPr>
            <w:color w:val="0000FF"/>
          </w:rPr>
          <w:t>разделом 9</w:t>
        </w:r>
      </w:hyperlink>
      <w:r>
        <w:t xml:space="preserve"> приложения N 9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8. Сигналы торможения (основные и дополнительные) должны соответствовать </w:t>
      </w:r>
      <w:hyperlink r:id="rId27" w:history="1">
        <w:r>
          <w:rPr>
            <w:color w:val="0000FF"/>
          </w:rPr>
          <w:t>пункту 3.11.1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9. Изменение мест расположения и демонтаж предусмотренных конструкцией троллейбуса фар и сигнальных фонарей не допускаются &lt;1&gt;.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&lt;1&gt; Требование не препятствует установке световых приборов в целях устранения несоответствия другим требованиям к внешним световым приборам. На троллейбусах, снятых с производства, допускается замена внешних световых приборов на световые приборы, используемые на троллейбусах других типов, при условии соблюдения </w:t>
      </w:r>
      <w:hyperlink r:id="rId28" w:history="1">
        <w:r>
          <w:rPr>
            <w:color w:val="0000FF"/>
          </w:rPr>
          <w:t>требований</w:t>
        </w:r>
      </w:hyperlink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10. Углы регулировки и сила света фар должны соответствовать требованиям </w:t>
      </w:r>
      <w:hyperlink r:id="rId29" w:history="1">
        <w:r>
          <w:rPr>
            <w:color w:val="0000FF"/>
          </w:rPr>
          <w:t>пунктов 3.8.4</w:t>
        </w:r>
      </w:hyperlink>
      <w:r>
        <w:t xml:space="preserve"> - </w:t>
      </w:r>
      <w:hyperlink r:id="rId30" w:history="1">
        <w:r>
          <w:rPr>
            <w:color w:val="0000FF"/>
          </w:rPr>
          <w:t>3.8.8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11. Следующие компоненты троллейбусов согласно их типу должны соответствовать требованиям пунктов </w:t>
      </w:r>
      <w:hyperlink r:id="rId31" w:history="1">
        <w:r>
          <w:rPr>
            <w:color w:val="0000FF"/>
          </w:rPr>
          <w:t>приложения N 8</w:t>
        </w:r>
      </w:hyperlink>
      <w:r>
        <w:t xml:space="preserve"> к </w:t>
      </w:r>
      <w:proofErr w:type="gramStart"/>
      <w:r>
        <w:t>ТР</w:t>
      </w:r>
      <w:proofErr w:type="gramEnd"/>
      <w:r>
        <w:t xml:space="preserve"> ТС 018/2011: светоотражающая маркировка - </w:t>
      </w:r>
      <w:hyperlink r:id="rId32" w:history="1">
        <w:r>
          <w:rPr>
            <w:color w:val="0000FF"/>
          </w:rPr>
          <w:t>пункту 3.7</w:t>
        </w:r>
      </w:hyperlink>
      <w:r>
        <w:t xml:space="preserve">; фары ближнего и дальнего света и противотуманные - </w:t>
      </w:r>
      <w:hyperlink r:id="rId33" w:history="1">
        <w:r>
          <w:rPr>
            <w:color w:val="0000FF"/>
          </w:rPr>
          <w:t>пункту 3.8.1</w:t>
        </w:r>
      </w:hyperlink>
      <w:r>
        <w:t xml:space="preserve">; источники света в фарах - </w:t>
      </w:r>
      <w:hyperlink r:id="rId34" w:history="1">
        <w:r>
          <w:rPr>
            <w:color w:val="0000FF"/>
          </w:rPr>
          <w:t>пункту 3.8.2</w:t>
        </w:r>
      </w:hyperlink>
      <w:r>
        <w:t>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IV. Требования к стеклоочистителям и стеклоомывателям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12. Параметры стеклоочистителей и стеклоомывателей троллейбуса должны соответствовать требованиям </w:t>
      </w:r>
      <w:hyperlink r:id="rId35" w:history="1">
        <w:r>
          <w:rPr>
            <w:color w:val="0000FF"/>
          </w:rPr>
          <w:t>пунктов 4.8</w:t>
        </w:r>
      </w:hyperlink>
      <w:r>
        <w:t xml:space="preserve"> и </w:t>
      </w:r>
      <w:hyperlink r:id="rId36" w:history="1">
        <w:r>
          <w:rPr>
            <w:color w:val="0000FF"/>
          </w:rPr>
          <w:t>4.9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V. Требования к шинам и колесам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13. Шина считается непригодной к эксплуатации в соответствии с критериями, установленными в </w:t>
      </w:r>
      <w:hyperlink r:id="rId37" w:history="1">
        <w:r>
          <w:rPr>
            <w:color w:val="0000FF"/>
          </w:rPr>
          <w:t>пункте 5.6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14. Не допускаются неисправности колес и шин троллейбуса, указанные в </w:t>
      </w:r>
      <w:hyperlink r:id="rId38" w:history="1">
        <w:r>
          <w:rPr>
            <w:color w:val="0000FF"/>
          </w:rPr>
          <w:t>пункте 5.7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VI. Требования к прочим элементам конструкции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15. Троллейбус должен быть укомплектован зеркалами заднего вида в соответствии с </w:t>
      </w:r>
      <w:hyperlink r:id="rId39" w:history="1">
        <w:r>
          <w:rPr>
            <w:color w:val="0000FF"/>
          </w:rPr>
          <w:t>пунктом 4.11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16. В троллейбусах не допускается наличие ограничивающих обзорность с места водителя предметов или покрытий, кроме предусмотренных в </w:t>
      </w:r>
      <w:hyperlink r:id="rId40" w:history="1">
        <w:r>
          <w:rPr>
            <w:color w:val="0000FF"/>
          </w:rPr>
          <w:t>пункте 4.2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17. Светопропускание ветрового стекла, передних боковых стекол троллейбуса должно соответствовать требованиям </w:t>
      </w:r>
      <w:hyperlink r:id="rId41" w:history="1">
        <w:r>
          <w:rPr>
            <w:color w:val="0000FF"/>
          </w:rPr>
          <w:t>пункта 4.3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18. Наличие трещин на ветровых стеклах в зоне очистки стеклоочистителем половины стекла, расположенной со стороны водителя, не допускается в соответствии с </w:t>
      </w:r>
      <w:hyperlink r:id="rId42" w:history="1">
        <w:r>
          <w:rPr>
            <w:color w:val="0000FF"/>
          </w:rPr>
          <w:t>пунктом 4.7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19. Замки дверей кузова или кабины, механизмы регулировки и фиксирующие устройства сидений водителя и пассажиров, устройство обогрева и обдува ветрового стекла, </w:t>
      </w:r>
      <w:r>
        <w:lastRenderedPageBreak/>
        <w:t xml:space="preserve">предусмотренное изготовителем троллейбуса противоугонное устройство должны соответствовать </w:t>
      </w:r>
      <w:hyperlink r:id="rId43" w:history="1">
        <w:r>
          <w:rPr>
            <w:color w:val="0000FF"/>
          </w:rPr>
          <w:t>пункту 10.2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20. Привод дверей троллейбуса, а также сигнализация их работы и сигнал требования остановки должны соответствовать </w:t>
      </w:r>
      <w:hyperlink r:id="rId44" w:history="1">
        <w:r>
          <w:rPr>
            <w:color w:val="0000FF"/>
          </w:rPr>
          <w:t>пункту 13.1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21. Аварийные выходы должны быть обозначены и иметь таблички по правилам их использования в соответствии с </w:t>
      </w:r>
      <w:hyperlink r:id="rId45" w:history="1">
        <w:r>
          <w:rPr>
            <w:color w:val="0000FF"/>
          </w:rPr>
          <w:t>пунктом 13.2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 Аварийные выходы и устройства приведения их в действие, приборы освещения выходов из салона должны быть работоспособны в соответствии с </w:t>
      </w:r>
      <w:hyperlink r:id="rId46" w:history="1">
        <w:r>
          <w:rPr>
            <w:color w:val="0000FF"/>
          </w:rPr>
          <w:t>пунктом 13.1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22. Комплектация троллейбусов звуковым сигнальным прибором должна соответствовать </w:t>
      </w:r>
      <w:hyperlink r:id="rId47" w:history="1">
        <w:r>
          <w:rPr>
            <w:color w:val="0000FF"/>
          </w:rPr>
          <w:t>пункту 10.4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 xml:space="preserve">Тягово-сцепные устройства должны быть в исправном состоянии в соответствии с </w:t>
      </w:r>
      <w:hyperlink r:id="rId48" w:history="1">
        <w:r>
          <w:rPr>
            <w:color w:val="0000FF"/>
          </w:rPr>
          <w:t>пунктом 7.6</w:t>
        </w:r>
      </w:hyperlink>
      <w:r>
        <w:t xml:space="preserve"> приложения к Основным положениям по допуску транспортных средств к эксплуатации и обязанностям должностных лиц по обеспечению безопасности дорожного движения Перечня неисправностей и условий, при которых запрещается эксплуатация транспортных средств, утвержденных постановлением Совета Министров - Правительства Российской Федерации от 23 октября 1993 г. N 1090 "О правилах дорожного движения".</w:t>
      </w:r>
      <w:proofErr w:type="gramEnd"/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24. Комплектация троллейбусов знаком аварийной остановки должна соответствовать </w:t>
      </w:r>
      <w:hyperlink r:id="rId49" w:history="1">
        <w:r>
          <w:rPr>
            <w:color w:val="0000FF"/>
          </w:rPr>
          <w:t>пункту 11.1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25. Комплектация троллейбусов противооткатными упорами должна соответствовать </w:t>
      </w:r>
      <w:hyperlink r:id="rId50" w:history="1">
        <w:r>
          <w:rPr>
            <w:color w:val="0000FF"/>
          </w:rPr>
          <w:t>пункту 11.3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26. Комплектация троллейбусов огнетушителями и требования к огнетушителям должны соответствовать </w:t>
      </w:r>
      <w:hyperlink r:id="rId51" w:history="1">
        <w:r>
          <w:rPr>
            <w:color w:val="0000FF"/>
          </w:rPr>
          <w:t>пункту 11.4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27. Размещение огнетушителей и медицинских аптечек должны соответствовать </w:t>
      </w:r>
      <w:hyperlink r:id="rId52" w:history="1">
        <w:r>
          <w:rPr>
            <w:color w:val="0000FF"/>
          </w:rPr>
          <w:t>пункту 11.5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28. Каплепадение масел и рабочих жидкостей из редукторов, заднего моста, аккумуляторной батареи, дополнительно устанавливаемых на троллейбус гидравлических устройств не допускается в соответствии с </w:t>
      </w:r>
      <w:hyperlink r:id="rId53" w:history="1">
        <w:r>
          <w:rPr>
            <w:color w:val="0000FF"/>
          </w:rPr>
          <w:t>пунктом 10.14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29. Токоприемники должны соответствовать требованиям </w:t>
      </w:r>
      <w:hyperlink r:id="rId54" w:history="1">
        <w:r>
          <w:rPr>
            <w:color w:val="0000FF"/>
          </w:rPr>
          <w:t>пунктов 27.4.1</w:t>
        </w:r>
      </w:hyperlink>
      <w:r>
        <w:t xml:space="preserve"> - </w:t>
      </w:r>
      <w:hyperlink r:id="rId55" w:history="1">
        <w:r>
          <w:rPr>
            <w:color w:val="0000FF"/>
          </w:rPr>
          <w:t>27.4.7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30. Контрольно-измерительные приборы должны быть в исправном состоянии в соответствии с </w:t>
      </w:r>
      <w:hyperlink r:id="rId56" w:history="1">
        <w:r>
          <w:rPr>
            <w:color w:val="0000FF"/>
          </w:rPr>
          <w:t>пунктом 27.4.13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31. Ток утечки не должен превышать 3 мА в соответствии с </w:t>
      </w:r>
      <w:hyperlink r:id="rId57" w:history="1">
        <w:r>
          <w:rPr>
            <w:color w:val="0000FF"/>
          </w:rPr>
          <w:t>пунктом 27.3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32. </w:t>
      </w:r>
      <w:proofErr w:type="gramStart"/>
      <w:r>
        <w:t xml:space="preserve">Изолирующее покрытие входных дверей, нижних ступенек и поручней в дверных проходах пассажирского салона не должно иметь повреждений (отслоений, сколов, истирания), снижающих его защитные свойства, в соответствии с </w:t>
      </w:r>
      <w:hyperlink r:id="rId58" w:history="1">
        <w:r>
          <w:rPr>
            <w:color w:val="0000FF"/>
          </w:rPr>
          <w:t>пунктом 208</w:t>
        </w:r>
      </w:hyperlink>
      <w:r>
        <w:t xml:space="preserve"> приложения к приказу Минтруда России от 14 ноября 2016 г. N 635н "Об утверждении Правил по охране труда на городском электрическом транспорте".</w:t>
      </w:r>
      <w:proofErr w:type="gramEnd"/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33. Сквозная коррозия или разрушение пола пассажирского помещения не допускаются в соответствии с пунктом 13.6.13 </w:t>
      </w:r>
      <w:hyperlink r:id="rId59" w:history="1">
        <w:r>
          <w:rPr>
            <w:color w:val="0000FF"/>
          </w:rPr>
          <w:t>приложения N 8</w:t>
        </w:r>
      </w:hyperlink>
      <w:r>
        <w:t xml:space="preserve">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34. На крыше должна быть дорожка из электроизоляционного материала, разрывы и другие </w:t>
      </w:r>
      <w:r>
        <w:lastRenderedPageBreak/>
        <w:t xml:space="preserve">повреждения дорожки не допускаются в соответствии с </w:t>
      </w:r>
      <w:hyperlink r:id="rId60" w:history="1">
        <w:r>
          <w:rPr>
            <w:color w:val="0000FF"/>
          </w:rPr>
          <w:t>пунктом 27.4.8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35. Требования по обеспечению подачи песка на головки рельсов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36. Требования к шунту заземления кожухов печей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37. Требования к высоте реборды бандажа колеса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38. Требования к расстоянию между внутренними гранями бандажей колесной пары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39. Требования к толщине бандажа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40. Требования по отсутствию выбоин на поверхности катания бандажа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41. Требования по отсутствию трещин на бандаже или колесном центре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42. Требования по надежности затяжки и фиксации гаек крепления продольных балок тележки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43. Требования по надежности затяжки и фиксации центральной гайки </w:t>
      </w:r>
      <w:proofErr w:type="spellStart"/>
      <w:r>
        <w:t>подрезиненного</w:t>
      </w:r>
      <w:proofErr w:type="spellEnd"/>
      <w:r>
        <w:t xml:space="preserve"> колеса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44. Требования по отсутствию перемещения ступицы, поворота бандажа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45. На транспортных средствах, оснащенных устройствами или системами вызова экстренных оперативных служб, такие устройства или системы должны быть работоспособны и соответствовать </w:t>
      </w:r>
      <w:hyperlink r:id="rId61" w:history="1">
        <w:r>
          <w:rPr>
            <w:color w:val="0000FF"/>
          </w:rPr>
          <w:t>пункту 118</w:t>
        </w:r>
      </w:hyperlink>
      <w:r>
        <w:t xml:space="preserve"> приложения N 10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46. Изменения в конструкции, внесенные в нарушение требований, установленных </w:t>
      </w:r>
      <w:hyperlink r:id="rId62" w:history="1">
        <w:r>
          <w:rPr>
            <w:color w:val="0000FF"/>
          </w:rPr>
          <w:t>разделом 4 главы V</w:t>
        </w:r>
      </w:hyperlink>
      <w:proofErr w:type="gramStart"/>
      <w:r>
        <w:t>ТР</w:t>
      </w:r>
      <w:proofErr w:type="gramEnd"/>
      <w:r>
        <w:t xml:space="preserve"> ТС 018/2011, не допускаются &lt;2&gt;.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C4EBF" w:rsidRDefault="000C4EBF">
      <w:pPr>
        <w:pStyle w:val="ConsPlusNormal"/>
        <w:spacing w:before="220"/>
        <w:ind w:firstLine="540"/>
        <w:jc w:val="both"/>
      </w:pPr>
      <w:proofErr w:type="gramStart"/>
      <w:r>
        <w:t xml:space="preserve">&lt;2&gt; Внесение изменений в конструкцию троллейбуса подтверждается разрешением на внесение изменений в конструкцию находящегося в эксплуатации колесного транспортного средства и протоколом проверки безопасности конструкции транспортного средства после внесенных в нее изменений в соответствии с </w:t>
      </w:r>
      <w:hyperlink r:id="rId6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6 апреля 2019 г. N 413 "Об утверждении Правил внесения изменений в конструкцию находящихся в эксплуатации колесных транспортных средств и осуществления</w:t>
      </w:r>
      <w:proofErr w:type="gramEnd"/>
      <w:r>
        <w:t xml:space="preserve"> последующей проверки выполнения требований технического регламента Таможенного союза "О безопасности колесных транспортных средств" или наличием номера свидетельства о соответствии колесного транспортного средства с внесенными в его конструкцию изменениями требованиям безопасности в документе, идентифицирующем троллейбус.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47. Троллейбусы должны отвечать дополнительным требованиям, установленным </w:t>
      </w:r>
      <w:hyperlink r:id="rId64" w:history="1">
        <w:r>
          <w:rPr>
            <w:color w:val="0000FF"/>
          </w:rPr>
          <w:t>пунктами 27.4.10</w:t>
        </w:r>
      </w:hyperlink>
      <w:r>
        <w:t xml:space="preserve">, </w:t>
      </w:r>
      <w:hyperlink r:id="rId65" w:history="1">
        <w:r>
          <w:rPr>
            <w:color w:val="0000FF"/>
          </w:rPr>
          <w:t>27.4.11</w:t>
        </w:r>
      </w:hyperlink>
      <w:r>
        <w:t xml:space="preserve">, </w:t>
      </w:r>
      <w:hyperlink r:id="rId66" w:history="1">
        <w:r>
          <w:rPr>
            <w:color w:val="0000FF"/>
          </w:rPr>
          <w:t>27.4.14</w:t>
        </w:r>
      </w:hyperlink>
      <w:r>
        <w:t xml:space="preserve"> приложения N 8 к </w:t>
      </w:r>
      <w:proofErr w:type="gramStart"/>
      <w:r>
        <w:t>ТР</w:t>
      </w:r>
      <w:proofErr w:type="gramEnd"/>
      <w:r>
        <w:t xml:space="preserve"> ТС 018/2011.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right"/>
        <w:outlineLvl w:val="1"/>
      </w:pPr>
      <w:r>
        <w:t>Приложение N 2</w:t>
      </w:r>
    </w:p>
    <w:p w:rsidR="000C4EBF" w:rsidRDefault="000C4EBF">
      <w:pPr>
        <w:pStyle w:val="ConsPlusNormal"/>
        <w:jc w:val="right"/>
      </w:pPr>
      <w:r>
        <w:t>к Правилам проведения технического</w:t>
      </w:r>
    </w:p>
    <w:p w:rsidR="000C4EBF" w:rsidRDefault="000C4EBF">
      <w:pPr>
        <w:pStyle w:val="ConsPlusNormal"/>
        <w:jc w:val="right"/>
      </w:pPr>
      <w:r>
        <w:t>осмотра транспортных средств городского</w:t>
      </w:r>
    </w:p>
    <w:p w:rsidR="000C4EBF" w:rsidRDefault="000C4EBF">
      <w:pPr>
        <w:pStyle w:val="ConsPlusNormal"/>
        <w:jc w:val="right"/>
      </w:pPr>
      <w:r>
        <w:lastRenderedPageBreak/>
        <w:t>наземного электрического транспорта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</w:pPr>
      <w:bookmarkStart w:id="4" w:name="P168"/>
      <w:bookmarkEnd w:id="4"/>
      <w:r>
        <w:t>ОБЯЗАТЕЛЬНЫЕ ТРЕБОВАНИЯ</w:t>
      </w:r>
    </w:p>
    <w:p w:rsidR="000C4EBF" w:rsidRDefault="000C4EBF">
      <w:pPr>
        <w:pStyle w:val="ConsPlusTitle"/>
        <w:jc w:val="center"/>
      </w:pPr>
      <w:r>
        <w:t>БЕЗОПАСНОСТИ ТРАНСПОРТНЫХ СРЕДСТВ, ПРЕДЪЯВЛЯЕМЫЕ</w:t>
      </w:r>
    </w:p>
    <w:p w:rsidR="000C4EBF" w:rsidRDefault="000C4EBF">
      <w:pPr>
        <w:pStyle w:val="ConsPlusTitle"/>
        <w:jc w:val="center"/>
      </w:pPr>
      <w:r>
        <w:t>ПРИ ПРОВЕДЕНИИ ТЕХНИЧЕСКОГО ОСМОТРА К ТРАМВАЙНЫМ ВАГОНАМ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I. Требования к тормозным системам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>1. Тормозной путь трамвайного вагона в снаряженном состоянии (без нагрузки) на горизонтальном участке трамвайного пути с сухими и чистыми рельсами на скорости начала торможения 40 км/ч при однократном воздействии на орган управления тормозной системой должен быть: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при экстренном торможении - не более 21 м;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при служебном торможении - не более 45 м.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2. Стояночная тормозная система должна обеспечивать неподвижное состояние трамвайных вагонов с разрешенной максимальной массой на уклоне 9 процентов. Допускается проверка стояночной тормозной системы трамвайных вагонов косвенными методами (по величине силового тока начала движения заторможенного вагона или определением усилия при протаскивании заторможенного вагона), результаты которых сопоставимы с результатами натуральных испытаний.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3. Тормозная система с пневматическим тормозным приводом (при наличии) в режиме аварийного торможения должна быть работоспособна.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Для трамвайных вагонов недопустимо нарушение герметичности пневматического (пневмогидравлического) тормозного привода, падение давления воздуха при неработающем компрессоре не должно быть более чем на 0,05 МПа (0,5 кгс/см</w:t>
      </w:r>
      <w:r>
        <w:rPr>
          <w:vertAlign w:val="superscript"/>
        </w:rPr>
        <w:t>3</w:t>
      </w:r>
      <w:r>
        <w:t xml:space="preserve"> за 15 минут после приведения в действие органа управления рабочим тормозом.</w:t>
      </w:r>
      <w:proofErr w:type="gramEnd"/>
      <w:r>
        <w:t xml:space="preserve"> Утечки сжатого воздуха из тормозных камер не допускаются.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II. Требования к рулевому управлению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>5. Требования к рулевому управлению не применяются.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III. Требования к внешним световым приборам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6. Внешние световые приборы, устанавливаемые на трамвайных вагонах (трамвайных поездах), должны соответствовать требованиям </w:t>
      </w:r>
      <w:hyperlink r:id="rId67" w:history="1">
        <w:r>
          <w:rPr>
            <w:color w:val="0000FF"/>
          </w:rPr>
          <w:t>ГОСТ 8802-78</w:t>
        </w:r>
      </w:hyperlink>
      <w:r>
        <w:t>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7. На трамвайных вагонах (трамвайных поездах) не допускаются разрушения и отсутствие световых приборов.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8. Сигналы торможения (основные и дополнительные) трамвайных вагонов (трамвайных поездов) должны включаться при воздействии на органы управления рабочей и аварийной тормозных систем и работать в постоянном режиме.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9. Изменение мест расположения и демонтаж предусмотренных конструкцией трамваев фар и сигнальных фонарей не допускается.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10. Требования к углам регулировки и силе света фар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11. Требования к светоотражающей маркировке, форме, цвету и размеру фар, а также к источникам света в фарах не применяются.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IV. Требования к стеклоочистителям и стеклоомывателям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>12. Система стеклоочистителей и стеклоомывателей трамвайных вагонов (трамвайных поездов) должна быть оснащена не менее чем одним стеклоочистителем и не менее чем одной форсункой стеклоомывателя ветрового стекла.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V. Требования к шинам и колесам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>13. Требования в отношении пригодности шин к эксплуатации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14. Требования в отношении отсутствия неисправностей колес и шин не применяются.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Title"/>
        <w:jc w:val="center"/>
        <w:outlineLvl w:val="2"/>
      </w:pPr>
      <w:r>
        <w:t>VI. Требования к прочим элементам конструкции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 xml:space="preserve">15. Трамвайный вагон должен быть укомплектован обеспечивающими поля обзора зеркалами заднего вида согласно </w:t>
      </w:r>
      <w:hyperlink r:id="rId68" w:history="1">
        <w:r>
          <w:rPr>
            <w:color w:val="0000FF"/>
          </w:rPr>
          <w:t>ГОСТ 8802-78</w:t>
        </w:r>
      </w:hyperlink>
      <w:r>
        <w:t>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16. В трамвайных вагонах не допускается наличие предметов или покрытий, ограничивающих обзорность с места водителя, за исключением зеркал заднего вида, деталей стеклоочистителей, наружных и нанесенных или встроенных в стекла радиоантенн, нагревательных элементов устройств размораживания и осушения ветрового стекла. В верхней части ветрового стекла допускается крепление полосы прозрачной цветной пленки шириной, не превышающей минимального расстояния между верхним краем ветрового стекла и верхней границей зоны его очистки стеклоочистителем.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17. В трамвайных вагонах светопропускание ветрового стекла передних боковых стекол и стекол передних дверей (при наличии) должно составлять не менее 70 процентов.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18. Не допускается наличие трещин на ветровых стеклах трамвайных вагонов (трамвайных поездов) в зоне очистки стеклоочистителем половины стекла, расположенной со стороны водителя.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19. В трамвайных вагонах замки дверей кузова или кабины, механизмы регулировки и фиксирующие устройства сидений водителя, устройство обогрева и обдува ветрового стекла, предусмотренное изготовителем трамвайных вагонов противоугонное устройство должны быть работоспособны.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20. Привод дверей трамвайных вагонов должен быть в работоспособном состоянии, не должна быть нарушена целостность дверей. Сигнализация их работы и сигнал требования остановки должны быть работоспособны.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21. Аварийные выходы должны быть обозначены и иметь правила их использования. Аварийные выходы и устройства приведения их в действие, приборы освещения выходов из салона должны быть работоспособны.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22. Трамвайные вагоны должны быть укомплектованы звуковым сигнальным прибором в рабочем состоянии.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23. Узлы сочленения (штатное и дополнительное) для аварийной буксировки, тягово-сцепные устройства должны быть в исправном состоянии.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24. Трамвайные вагоны должны быть укомплектованы знаком аварийной остановки.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25. Трамвайные вагоны должны быть укомплектованы не менее чем 2 противооткатными упорами.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lastRenderedPageBreak/>
        <w:t>26. Трамвайные вагоны должны быть оснащены огнетушителями (порошковыми или углекислотными) емкостью не менее 5 литров, один из которых должен размещаться в кабине водителя. Огнетушители должны быть опломбированы, и на них должен быть указан срок окончания использования, который на момент проверки не должен быть завершен.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27. Огнетушители и медицинские аптечки в трамвайных вагонах (трамвайных поездах), оборудованных приспособлениями для их крепления, должны быть надежно закреплены в местах, предусмотренных конструкцией трамвайного вагона (трамвайного поезда).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28. </w:t>
      </w:r>
      <w:proofErr w:type="spellStart"/>
      <w:r>
        <w:t>Капленадение</w:t>
      </w:r>
      <w:proofErr w:type="spellEnd"/>
      <w:r>
        <w:t xml:space="preserve"> масел и рабочих жидкостей из редукторов, аккумуляторной батареи, дополнительно устанавливаемых на трамваях гидравлических устройств не допускается.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29. Недопустимо заедание в шарнирах токоприемников. Токоприемник в опущенном состоянии должен фиксироваться.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30. Контрольно-измерительные приборы должны быть в исправном состоянии.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31. Требования к току утечки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32. Требования к изоляционному покрытию поручней и подножек входа и выхода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33. Износ покрытия пола не должен превышать 50 процентов толщины материала покрытия, не должно быть протечек воды через пол на электрооборудование.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34. На крыше должна быть дорожка из электроизоляционного материала, разрывы и другие повреждения дорожки не допускаются.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35. Должна обеспечиваться подача песка на головки рельсов при включении песочниц и при экстренном торможении.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36. Недопустимо отсутствие или обрывы проводников на площади более 25 процентов </w:t>
      </w:r>
      <w:proofErr w:type="gramStart"/>
      <w:r>
        <w:t>сечения шунта заземления кожухов электрических печей отопления</w:t>
      </w:r>
      <w:proofErr w:type="gramEnd"/>
      <w:r>
        <w:t>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37. Высота реборды бандажа колеса должна быть не менее 11 мм, а ее толщина должна быть не менее 8 мм.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38. Расстояние между внутренними гранями бандажей колесной пары должно быть: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для колеи 1524 мм - (1474 +/- 2) мм;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для колеи 1000 мм - (950 +/- 1) мм.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39. При конструктивной ширине бандажа 85 мм толщина бандажа должна быть не менее 25 мм, при конструктивной ширине бандажа 90 мм толщина бандажа должна быть не менее 23 мм.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40. Должны отсутствовать выбоины (</w:t>
      </w:r>
      <w:proofErr w:type="spellStart"/>
      <w:r>
        <w:t>лыски</w:t>
      </w:r>
      <w:proofErr w:type="spellEnd"/>
      <w:r>
        <w:t>) на поверхности катания бандажа глубиной более 0,6 мм.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41. Должны отсутствовать продольные или поперечные трещины на бандаже или колесном центре.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42. Должны быть затянуты и зафиксированы гайки крепления продольных балок тележки.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 xml:space="preserve">43. Должны быть затянуты и зафиксированы приваренными планками центральная гайка </w:t>
      </w:r>
      <w:proofErr w:type="spellStart"/>
      <w:r>
        <w:t>подрезиненного</w:t>
      </w:r>
      <w:proofErr w:type="spellEnd"/>
      <w:r>
        <w:t xml:space="preserve"> колеса (если это предусмотрено конструкцией).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lastRenderedPageBreak/>
        <w:t>44. Недопустимо перемещение ступицы относительно оси колесной пары, недопустим поворот бандажа колеса относительно центра колеса.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45. Требования в отношении работоспособности устройства или системы вызова экстренных оперативных служб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46. Требования в отношении отсутствия изменений в конструкции, внесенные в нарушение установленных требований, не применяются.</w:t>
      </w:r>
    </w:p>
    <w:p w:rsidR="000C4EBF" w:rsidRDefault="000C4EBF">
      <w:pPr>
        <w:pStyle w:val="ConsPlusNormal"/>
        <w:spacing w:before="220"/>
        <w:ind w:firstLine="540"/>
        <w:jc w:val="both"/>
      </w:pPr>
      <w:r>
        <w:t>47. Требования в отношении соответствия трамвая дополнительным требованиям не применяются.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right"/>
        <w:outlineLvl w:val="1"/>
      </w:pPr>
      <w:r>
        <w:t>Приложение N 3</w:t>
      </w:r>
    </w:p>
    <w:p w:rsidR="000C4EBF" w:rsidRDefault="000C4EBF">
      <w:pPr>
        <w:pStyle w:val="ConsPlusNormal"/>
        <w:jc w:val="right"/>
      </w:pPr>
      <w:r>
        <w:t>к Правилам проведения технического</w:t>
      </w:r>
    </w:p>
    <w:p w:rsidR="000C4EBF" w:rsidRDefault="000C4EBF">
      <w:pPr>
        <w:pStyle w:val="ConsPlusNormal"/>
        <w:jc w:val="right"/>
      </w:pPr>
      <w:r>
        <w:t>осмотра транспортных средств городского</w:t>
      </w:r>
    </w:p>
    <w:p w:rsidR="000C4EBF" w:rsidRDefault="000C4EBF">
      <w:pPr>
        <w:pStyle w:val="ConsPlusNormal"/>
        <w:jc w:val="right"/>
      </w:pPr>
      <w:r>
        <w:t>наземного электрического транспорта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right"/>
      </w:pPr>
      <w:r>
        <w:t>(форма)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center"/>
      </w:pPr>
      <w:bookmarkStart w:id="5" w:name="P252"/>
      <w:bookmarkEnd w:id="5"/>
      <w:r>
        <w:t>ДИАГНОСТИЧЕСКАЯ КАРТА</w:t>
      </w:r>
    </w:p>
    <w:p w:rsidR="000C4EBF" w:rsidRDefault="000C4EBF">
      <w:pPr>
        <w:pStyle w:val="ConsPlusNormal"/>
        <w:jc w:val="center"/>
      </w:pPr>
      <w:r>
        <w:t>(городской наземный электрический транспорт)</w:t>
      </w:r>
    </w:p>
    <w:p w:rsidR="000C4EBF" w:rsidRDefault="000C4EBF">
      <w:pPr>
        <w:pStyle w:val="ConsPlusNormal"/>
        <w:jc w:val="both"/>
      </w:pPr>
    </w:p>
    <w:p w:rsidR="000C4EBF" w:rsidRDefault="000C4EBF">
      <w:pPr>
        <w:sectPr w:rsidR="000C4EBF" w:rsidSect="00DE59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90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053"/>
      </w:tblGrid>
      <w:tr w:rsidR="000C4EBF">
        <w:tc>
          <w:tcPr>
            <w:tcW w:w="6347" w:type="dxa"/>
            <w:gridSpan w:val="17"/>
          </w:tcPr>
          <w:p w:rsidR="000C4EBF" w:rsidRDefault="000C4EBF">
            <w:pPr>
              <w:pStyle w:val="ConsPlusNormal"/>
            </w:pPr>
            <w:r>
              <w:lastRenderedPageBreak/>
              <w:t>Регистрационный номер</w:t>
            </w:r>
          </w:p>
        </w:tc>
        <w:tc>
          <w:tcPr>
            <w:tcW w:w="5113" w:type="dxa"/>
            <w:gridSpan w:val="10"/>
          </w:tcPr>
          <w:p w:rsidR="000C4EBF" w:rsidRDefault="000C4EBF">
            <w:pPr>
              <w:pStyle w:val="ConsPlusNormal"/>
            </w:pPr>
            <w:r>
              <w:t xml:space="preserve">Срок действия </w:t>
            </w:r>
            <w:proofErr w:type="gramStart"/>
            <w:r>
              <w:t>до</w:t>
            </w:r>
            <w:proofErr w:type="gramEnd"/>
          </w:p>
        </w:tc>
      </w:tr>
      <w:tr w:rsidR="000C4EBF"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907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205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6347" w:type="dxa"/>
            <w:gridSpan w:val="17"/>
          </w:tcPr>
          <w:p w:rsidR="000C4EBF" w:rsidRDefault="000C4EBF">
            <w:pPr>
              <w:pStyle w:val="ConsPlusNormal"/>
            </w:pPr>
          </w:p>
        </w:tc>
        <w:tc>
          <w:tcPr>
            <w:tcW w:w="5113" w:type="dxa"/>
            <w:gridSpan w:val="10"/>
          </w:tcPr>
          <w:p w:rsidR="000C4EBF" w:rsidRDefault="000C4EBF">
            <w:pPr>
              <w:pStyle w:val="ConsPlusNormal"/>
            </w:pPr>
          </w:p>
        </w:tc>
      </w:tr>
    </w:tbl>
    <w:p w:rsidR="000C4EBF" w:rsidRDefault="000C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2375"/>
        <w:gridCol w:w="1928"/>
        <w:gridCol w:w="2253"/>
        <w:gridCol w:w="999"/>
        <w:gridCol w:w="1304"/>
      </w:tblGrid>
      <w:tr w:rsidR="000C4EBF">
        <w:tc>
          <w:tcPr>
            <w:tcW w:w="5040" w:type="dxa"/>
            <w:gridSpan w:val="2"/>
          </w:tcPr>
          <w:p w:rsidR="000C4EBF" w:rsidRDefault="000C4EBF">
            <w:pPr>
              <w:pStyle w:val="ConsPlusNormal"/>
            </w:pPr>
            <w:r>
              <w:t>Оператор технического осмотра:</w:t>
            </w:r>
          </w:p>
        </w:tc>
        <w:tc>
          <w:tcPr>
            <w:tcW w:w="6484" w:type="dxa"/>
            <w:gridSpan w:val="4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1524" w:type="dxa"/>
            <w:gridSpan w:val="6"/>
          </w:tcPr>
          <w:p w:rsidR="000C4EBF" w:rsidRDefault="000C4EBF">
            <w:pPr>
              <w:pStyle w:val="ConsPlusNormal"/>
            </w:pPr>
            <w:r>
              <w:t>Пункт технического осмотра</w:t>
            </w:r>
          </w:p>
          <w:p w:rsidR="000C4EBF" w:rsidRDefault="000C4EBF">
            <w:pPr>
              <w:pStyle w:val="ConsPlusNormal"/>
            </w:pPr>
            <w:r>
              <w:t>(передвижная диагностическая линия):</w:t>
            </w:r>
          </w:p>
        </w:tc>
      </w:tr>
      <w:tr w:rsidR="000C4EBF">
        <w:tc>
          <w:tcPr>
            <w:tcW w:w="2665" w:type="dxa"/>
          </w:tcPr>
          <w:p w:rsidR="000C4EBF" w:rsidRDefault="000C4EBF">
            <w:pPr>
              <w:pStyle w:val="ConsPlusNormal"/>
            </w:pPr>
            <w:r>
              <w:t>Первичная проверка </w:t>
            </w:r>
            <w:r w:rsidR="00041C6D" w:rsidRPr="00041C6D">
              <w:rPr>
                <w:position w:val="-9"/>
              </w:rPr>
              <w:pict>
                <v:shape id="_x0000_i1025" style="width:15.75pt;height:21pt" coordsize="" o:spt="100" adj="0,,0" path="" filled="f" stroked="f">
                  <v:stroke joinstyle="miter"/>
                  <v:imagedata r:id="rId69" o:title="base_1_362456_32768"/>
                  <v:formulas/>
                  <v:path o:connecttype="segments"/>
                </v:shape>
              </w:pict>
            </w:r>
          </w:p>
        </w:tc>
        <w:tc>
          <w:tcPr>
            <w:tcW w:w="43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3252" w:type="dxa"/>
            <w:gridSpan w:val="2"/>
            <w:tcBorders>
              <w:right w:val="nil"/>
            </w:tcBorders>
          </w:tcPr>
          <w:p w:rsidR="000C4EBF" w:rsidRDefault="000C4EBF">
            <w:pPr>
              <w:pStyle w:val="ConsPlusNormal"/>
            </w:pPr>
            <w:r>
              <w:t>Повторная проверка</w:t>
            </w:r>
          </w:p>
        </w:tc>
        <w:tc>
          <w:tcPr>
            <w:tcW w:w="1304" w:type="dxa"/>
            <w:tcBorders>
              <w:left w:val="nil"/>
            </w:tcBorders>
          </w:tcPr>
          <w:p w:rsidR="000C4EBF" w:rsidRDefault="00041C6D">
            <w:pPr>
              <w:pStyle w:val="ConsPlusNormal"/>
            </w:pPr>
            <w:r w:rsidRPr="00041C6D">
              <w:rPr>
                <w:position w:val="-9"/>
              </w:rPr>
              <w:pict>
                <v:shape id="_x0000_i1026" style="width:15.75pt;height:21pt" coordsize="" o:spt="100" adj="0,,0" path="" filled="f" stroked="f">
                  <v:stroke joinstyle="miter"/>
                  <v:imagedata r:id="rId69" o:title="base_1_362456_32769"/>
                  <v:formulas/>
                  <v:path o:connecttype="segments"/>
                </v:shape>
              </w:pict>
            </w:r>
          </w:p>
        </w:tc>
      </w:tr>
      <w:tr w:rsidR="000C4EBF">
        <w:tc>
          <w:tcPr>
            <w:tcW w:w="2665" w:type="dxa"/>
          </w:tcPr>
          <w:p w:rsidR="000C4EBF" w:rsidRDefault="000C4EBF">
            <w:pPr>
              <w:pStyle w:val="ConsPlusNormal"/>
            </w:pPr>
            <w:r>
              <w:t>Марка, модель ТС:</w:t>
            </w:r>
          </w:p>
        </w:tc>
        <w:tc>
          <w:tcPr>
            <w:tcW w:w="43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2253" w:type="dxa"/>
          </w:tcPr>
          <w:p w:rsidR="000C4EBF" w:rsidRDefault="000C4EBF">
            <w:pPr>
              <w:pStyle w:val="ConsPlusNormal"/>
            </w:pPr>
            <w:r>
              <w:t>Тип ТС:</w:t>
            </w:r>
          </w:p>
        </w:tc>
        <w:tc>
          <w:tcPr>
            <w:tcW w:w="2303" w:type="dxa"/>
            <w:gridSpan w:val="2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2665" w:type="dxa"/>
          </w:tcPr>
          <w:p w:rsidR="000C4EBF" w:rsidRDefault="000C4EBF">
            <w:pPr>
              <w:pStyle w:val="ConsPlusNormal"/>
            </w:pPr>
            <w:r>
              <w:t>VIN</w:t>
            </w:r>
          </w:p>
        </w:tc>
        <w:tc>
          <w:tcPr>
            <w:tcW w:w="43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2253" w:type="dxa"/>
          </w:tcPr>
          <w:p w:rsidR="000C4EBF" w:rsidRDefault="000C4EBF">
            <w:pPr>
              <w:pStyle w:val="ConsPlusNormal"/>
            </w:pPr>
            <w:r>
              <w:t>Пробег:</w:t>
            </w:r>
          </w:p>
        </w:tc>
        <w:tc>
          <w:tcPr>
            <w:tcW w:w="2303" w:type="dxa"/>
            <w:gridSpan w:val="2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2665" w:type="dxa"/>
          </w:tcPr>
          <w:p w:rsidR="000C4EBF" w:rsidRDefault="000C4EBF">
            <w:pPr>
              <w:pStyle w:val="ConsPlusNormal"/>
            </w:pPr>
            <w:proofErr w:type="spellStart"/>
            <w:r>
              <w:t>Бортовый</w:t>
            </w:r>
            <w:proofErr w:type="spellEnd"/>
            <w:r>
              <w:t xml:space="preserve"> номер</w:t>
            </w:r>
          </w:p>
        </w:tc>
        <w:tc>
          <w:tcPr>
            <w:tcW w:w="43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2253" w:type="dxa"/>
          </w:tcPr>
          <w:p w:rsidR="000C4EBF" w:rsidRDefault="000C4EBF">
            <w:pPr>
              <w:pStyle w:val="ConsPlusNormal"/>
            </w:pPr>
            <w:r>
              <w:t>Год выпуска ТС:</w:t>
            </w:r>
          </w:p>
        </w:tc>
        <w:tc>
          <w:tcPr>
            <w:tcW w:w="2303" w:type="dxa"/>
            <w:gridSpan w:val="2"/>
          </w:tcPr>
          <w:p w:rsidR="000C4EBF" w:rsidRDefault="000C4EBF">
            <w:pPr>
              <w:pStyle w:val="ConsPlusNormal"/>
            </w:pPr>
          </w:p>
        </w:tc>
      </w:tr>
      <w:tr w:rsidR="000C4EBF">
        <w:tblPrEx>
          <w:tblBorders>
            <w:insideV w:val="nil"/>
          </w:tblBorders>
        </w:tblPrEx>
        <w:tc>
          <w:tcPr>
            <w:tcW w:w="69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C4EBF" w:rsidRDefault="000C4EBF">
            <w:pPr>
              <w:pStyle w:val="ConsPlusNormal"/>
            </w:pPr>
            <w:r>
              <w:t>Владелец ТС:</w:t>
            </w:r>
          </w:p>
        </w:tc>
        <w:tc>
          <w:tcPr>
            <w:tcW w:w="2253" w:type="dxa"/>
            <w:tcBorders>
              <w:left w:val="single" w:sz="4" w:space="0" w:color="auto"/>
            </w:tcBorders>
          </w:tcPr>
          <w:p w:rsidR="000C4EBF" w:rsidRDefault="000C4EBF">
            <w:pPr>
              <w:pStyle w:val="ConsPlusNormal"/>
            </w:pPr>
          </w:p>
        </w:tc>
        <w:tc>
          <w:tcPr>
            <w:tcW w:w="2303" w:type="dxa"/>
            <w:gridSpan w:val="2"/>
            <w:tcBorders>
              <w:right w:val="single" w:sz="4" w:space="0" w:color="auto"/>
            </w:tcBorders>
          </w:tcPr>
          <w:p w:rsidR="000C4EBF" w:rsidRDefault="000C4EBF">
            <w:pPr>
              <w:pStyle w:val="ConsPlusNormal"/>
            </w:pPr>
          </w:p>
        </w:tc>
      </w:tr>
    </w:tbl>
    <w:p w:rsidR="000C4EBF" w:rsidRDefault="000C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91"/>
        <w:gridCol w:w="340"/>
        <w:gridCol w:w="567"/>
        <w:gridCol w:w="3061"/>
        <w:gridCol w:w="340"/>
        <w:gridCol w:w="624"/>
        <w:gridCol w:w="3030"/>
        <w:gridCol w:w="340"/>
      </w:tblGrid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городского наземного электрического транспорта при проведении технического осмотра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городского наземного электрического транспорта при проведении технического осмотра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городского наземного электрического транспорта при проведении технического осмотра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798" w:type="dxa"/>
            <w:gridSpan w:val="3"/>
          </w:tcPr>
          <w:p w:rsidR="000C4EBF" w:rsidRDefault="000C4EBF">
            <w:pPr>
              <w:pStyle w:val="ConsPlusNormal"/>
              <w:jc w:val="center"/>
              <w:outlineLvl w:val="2"/>
            </w:pPr>
            <w:r>
              <w:t>I. Тормозные системы</w:t>
            </w:r>
          </w:p>
        </w:tc>
        <w:tc>
          <w:tcPr>
            <w:tcW w:w="3968" w:type="dxa"/>
            <w:gridSpan w:val="3"/>
          </w:tcPr>
          <w:p w:rsidR="000C4EBF" w:rsidRDefault="000C4EBF">
            <w:pPr>
              <w:pStyle w:val="ConsPlusNormal"/>
              <w:jc w:val="center"/>
              <w:outlineLvl w:val="2"/>
            </w:pPr>
            <w:r>
              <w:t>VI. Прочие элементы конструкции</w:t>
            </w: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Соответствие тока утечки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Эффективность рабочей тормозной системы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Отсутствие неисправностей колес и шин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Отсутствие повреждений изоляционного покрытия поручней и подножек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Эффективность стояночной тормозной системы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Наличие зеркал заднего вида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Соответствие износа покрытия пола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 xml:space="preserve">Работоспособность тормозной системы с </w:t>
            </w:r>
            <w:proofErr w:type="spellStart"/>
            <w:r>
              <w:t>пневмоприводом</w:t>
            </w:r>
            <w:proofErr w:type="spellEnd"/>
            <w:r>
              <w:t xml:space="preserve"> в режиме аварийного торможения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Отсутствие ограничений обзорности с места водителя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Наличие на крыше неповрежденной электроизоляционной дорожки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Отсутствие неисправностей пневматического (пневмогидравлического) привода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Соответствие светопропускания стекол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Обеспечение подачи песка на головки рельсов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798" w:type="dxa"/>
            <w:gridSpan w:val="3"/>
          </w:tcPr>
          <w:p w:rsidR="000C4EBF" w:rsidRDefault="000C4EBF">
            <w:pPr>
              <w:pStyle w:val="ConsPlusNormal"/>
              <w:jc w:val="center"/>
              <w:outlineLvl w:val="2"/>
            </w:pPr>
            <w:r>
              <w:t>II. Рулевое управление</w:t>
            </w: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Отсутствие трещин на ветровых стеклах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Соответствие шунта заземления кожухов печей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Соответствие действия рулевого управления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Работоспособность замков дверей, устройств регулировки сидений, обогрева и обдува ветрового стекла, противоугонных устройств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Соответствие высоты реборды бандажа колеса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798" w:type="dxa"/>
            <w:gridSpan w:val="3"/>
          </w:tcPr>
          <w:p w:rsidR="000C4EBF" w:rsidRDefault="000C4EBF">
            <w:pPr>
              <w:pStyle w:val="ConsPlusNormal"/>
              <w:jc w:val="center"/>
              <w:outlineLvl w:val="2"/>
            </w:pPr>
            <w:r>
              <w:t>III. Внешние световые приборы</w:t>
            </w: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Работоспособность привода и сигнализации дверей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 xml:space="preserve">Соответствие расстояния между внутренними гранями бандажей колесной </w:t>
            </w:r>
            <w:proofErr w:type="gramStart"/>
            <w:r>
              <w:t>пары</w:t>
            </w:r>
            <w:proofErr w:type="gramEnd"/>
            <w:r>
              <w:t xml:space="preserve">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 xml:space="preserve">Соответствие применяемых </w:t>
            </w:r>
            <w:r>
              <w:lastRenderedPageBreak/>
              <w:t>внешних световых приборов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 xml:space="preserve">Обозначения аварийных </w:t>
            </w:r>
            <w:r>
              <w:lastRenderedPageBreak/>
              <w:t>выходов. Работоспособность аварийных выходов, приборов освещения выходов из салона (для пассажирских троллейбусов и трамвайных вагонов)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 xml:space="preserve">Соответствие толщины </w:t>
            </w:r>
            <w:r>
              <w:lastRenderedPageBreak/>
              <w:t>бандажа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Отсутствие неисправностей световых приборов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Наличие работоспособного звукового сигнального прибора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Отсутствие выбоин на поверхности катания бандажа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Работоспособность сигналов торможения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Исправность тягово-сцепного устройства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Отсутствие трещин на бандаже или колесном центре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Соответствие мест расположения и количества фар и сигнальных фонарей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Наличие знака аварийной остановки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Надежность затяжки и фиксации гаек крепления продольных балок тележки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Углы регулировки и сила света фар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  <w:jc w:val="both"/>
            </w:pPr>
            <w:r>
              <w:t>Наличие противооткатных упоров, соответствующих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 xml:space="preserve">Надежность затяжки и фиксации центральной гайки </w:t>
            </w:r>
            <w:proofErr w:type="spellStart"/>
            <w:r>
              <w:t>подрезиненного</w:t>
            </w:r>
            <w:proofErr w:type="spellEnd"/>
            <w:r>
              <w:t xml:space="preserve"> колеса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Компоненты троллейбуса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Наличие огнетушителей, соответствующих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Отсутствие перемещения ступицы, поворота бандажа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798" w:type="dxa"/>
            <w:gridSpan w:val="3"/>
          </w:tcPr>
          <w:p w:rsidR="000C4EBF" w:rsidRDefault="000C4EBF">
            <w:pPr>
              <w:pStyle w:val="ConsPlusNormal"/>
              <w:jc w:val="center"/>
              <w:outlineLvl w:val="2"/>
            </w:pPr>
            <w:r>
              <w:t>IV. Стеклоочистители и стеклоомыватели</w:t>
            </w: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Размещение огнетушителей и медицинских аптечек в соответствии с установленными требованиями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Работоспособность устройства или системы вызова экстренных оперативных служб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 xml:space="preserve">Соответствие </w:t>
            </w:r>
            <w:r>
              <w:lastRenderedPageBreak/>
              <w:t>стеклоочистителей и стеклоомывателей установленным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 xml:space="preserve">Отсутствие каплепадения </w:t>
            </w:r>
            <w:r>
              <w:lastRenderedPageBreak/>
              <w:t>масел и рабочих жидкостей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 xml:space="preserve">Отсутствие изменений в </w:t>
            </w:r>
            <w:r>
              <w:lastRenderedPageBreak/>
              <w:t>конструкции транспортного средства, внесенных в нарушение установленных требований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798" w:type="dxa"/>
            <w:gridSpan w:val="3"/>
          </w:tcPr>
          <w:p w:rsidR="000C4EBF" w:rsidRDefault="000C4EBF">
            <w:pPr>
              <w:pStyle w:val="ConsPlusNormal"/>
              <w:jc w:val="center"/>
              <w:outlineLvl w:val="2"/>
            </w:pPr>
            <w:r>
              <w:lastRenderedPageBreak/>
              <w:t>V. Шины и колеса</w:t>
            </w: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Работоспособность токоприемников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  <w:r>
              <w:t>Соответствие транспортного средства установленным дополнительным требованиям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891" w:type="dxa"/>
          </w:tcPr>
          <w:p w:rsidR="000C4EBF" w:rsidRDefault="000C4EBF">
            <w:pPr>
              <w:pStyle w:val="ConsPlusNormal"/>
            </w:pPr>
            <w:r>
              <w:t>Пригодность шин к эксплуатации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67" w:type="dxa"/>
          </w:tcPr>
          <w:p w:rsidR="000C4EBF" w:rsidRDefault="000C4EB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061" w:type="dxa"/>
          </w:tcPr>
          <w:p w:rsidR="000C4EBF" w:rsidRDefault="000C4EBF">
            <w:pPr>
              <w:pStyle w:val="ConsPlusNormal"/>
            </w:pPr>
            <w:r>
              <w:t>Исправность контрольно-измерительных приборов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624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03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</w:tbl>
    <w:p w:rsidR="000C4EBF" w:rsidRDefault="000C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9"/>
        <w:gridCol w:w="1584"/>
        <w:gridCol w:w="1531"/>
        <w:gridCol w:w="3939"/>
        <w:gridCol w:w="3013"/>
      </w:tblGrid>
      <w:tr w:rsidR="000C4EBF">
        <w:tc>
          <w:tcPr>
            <w:tcW w:w="11486" w:type="dxa"/>
            <w:gridSpan w:val="5"/>
          </w:tcPr>
          <w:p w:rsidR="000C4EBF" w:rsidRDefault="000C4EBF">
            <w:pPr>
              <w:pStyle w:val="ConsPlusNormal"/>
              <w:jc w:val="center"/>
              <w:outlineLvl w:val="2"/>
            </w:pPr>
            <w:r>
              <w:t>Результаты диагностирования</w:t>
            </w:r>
          </w:p>
        </w:tc>
      </w:tr>
      <w:tr w:rsidR="000C4EBF">
        <w:tc>
          <w:tcPr>
            <w:tcW w:w="8473" w:type="dxa"/>
            <w:gridSpan w:val="4"/>
          </w:tcPr>
          <w:p w:rsidR="000C4EBF" w:rsidRDefault="000C4EBF">
            <w:pPr>
              <w:pStyle w:val="ConsPlusNormal"/>
              <w:jc w:val="center"/>
            </w:pPr>
            <w:r>
              <w:t>Требования, по которым установлено несоответствие</w:t>
            </w:r>
          </w:p>
        </w:tc>
        <w:tc>
          <w:tcPr>
            <w:tcW w:w="3013" w:type="dxa"/>
          </w:tcPr>
          <w:p w:rsidR="000C4EBF" w:rsidRDefault="000C4EBF">
            <w:pPr>
              <w:pStyle w:val="ConsPlusNormal"/>
              <w:jc w:val="center"/>
            </w:pPr>
            <w:r>
              <w:t>Пункт диагностической карты</w:t>
            </w:r>
          </w:p>
        </w:tc>
      </w:tr>
      <w:tr w:rsidR="000C4EBF">
        <w:tc>
          <w:tcPr>
            <w:tcW w:w="1419" w:type="dxa"/>
          </w:tcPr>
          <w:p w:rsidR="000C4EBF" w:rsidRDefault="000C4EBF">
            <w:pPr>
              <w:pStyle w:val="ConsPlusNormal"/>
              <w:jc w:val="center"/>
            </w:pPr>
            <w:r>
              <w:t>Нижняя граница</w:t>
            </w:r>
          </w:p>
        </w:tc>
        <w:tc>
          <w:tcPr>
            <w:tcW w:w="1584" w:type="dxa"/>
          </w:tcPr>
          <w:p w:rsidR="000C4EBF" w:rsidRDefault="000C4EBF">
            <w:pPr>
              <w:pStyle w:val="ConsPlusNormal"/>
              <w:jc w:val="center"/>
            </w:pPr>
            <w:r>
              <w:t>Результат проверки</w:t>
            </w:r>
          </w:p>
        </w:tc>
        <w:tc>
          <w:tcPr>
            <w:tcW w:w="1531" w:type="dxa"/>
          </w:tcPr>
          <w:p w:rsidR="000C4EBF" w:rsidRDefault="000C4EBF">
            <w:pPr>
              <w:pStyle w:val="ConsPlusNormal"/>
              <w:jc w:val="center"/>
            </w:pPr>
            <w:r>
              <w:t>Верхняя граница</w:t>
            </w:r>
          </w:p>
        </w:tc>
        <w:tc>
          <w:tcPr>
            <w:tcW w:w="3939" w:type="dxa"/>
          </w:tcPr>
          <w:p w:rsidR="000C4EBF" w:rsidRDefault="000C4EBF">
            <w:pPr>
              <w:pStyle w:val="ConsPlusNormal"/>
              <w:jc w:val="center"/>
            </w:pPr>
            <w:r>
              <w:t>Наименование требования</w:t>
            </w: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41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84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31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93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41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84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31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93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41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84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31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93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41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84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31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93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41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84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31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93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41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84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31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93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41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84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31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93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41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84" w:type="dxa"/>
          </w:tcPr>
          <w:p w:rsidR="000C4EBF" w:rsidRDefault="000C4EBF">
            <w:pPr>
              <w:pStyle w:val="ConsPlusNormal"/>
            </w:pPr>
          </w:p>
        </w:tc>
        <w:tc>
          <w:tcPr>
            <w:tcW w:w="1531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93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8473" w:type="dxa"/>
            <w:gridSpan w:val="4"/>
          </w:tcPr>
          <w:p w:rsidR="000C4EBF" w:rsidRDefault="000C4EBF">
            <w:pPr>
              <w:pStyle w:val="ConsPlusNormal"/>
              <w:jc w:val="center"/>
            </w:pPr>
            <w:r>
              <w:lastRenderedPageBreak/>
              <w:t>Невыполненные требования</w:t>
            </w: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003" w:type="dxa"/>
            <w:gridSpan w:val="2"/>
          </w:tcPr>
          <w:p w:rsidR="000C4EBF" w:rsidRDefault="000C4EBF">
            <w:pPr>
              <w:pStyle w:val="ConsPlusNormal"/>
              <w:jc w:val="center"/>
            </w:pPr>
            <w:r>
              <w:t>Предмет проверки (узел, деталь, агрегат)</w:t>
            </w:r>
          </w:p>
        </w:tc>
        <w:tc>
          <w:tcPr>
            <w:tcW w:w="5470" w:type="dxa"/>
            <w:gridSpan w:val="2"/>
          </w:tcPr>
          <w:p w:rsidR="000C4EBF" w:rsidRDefault="000C4EBF">
            <w:pPr>
              <w:pStyle w:val="ConsPlusNormal"/>
              <w:jc w:val="center"/>
            </w:pPr>
            <w:r>
              <w:t>Содержание невыполненного требования (с указанием нормативного источника)</w:t>
            </w: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0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5470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0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5470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0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5470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0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5470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0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5470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0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5470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3003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5470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301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1486" w:type="dxa"/>
            <w:gridSpan w:val="5"/>
          </w:tcPr>
          <w:p w:rsidR="000C4EBF" w:rsidRDefault="000C4EBF">
            <w:pPr>
              <w:pStyle w:val="ConsPlusNormal"/>
            </w:pPr>
            <w:r>
              <w:t>Примечания:</w:t>
            </w:r>
          </w:p>
        </w:tc>
      </w:tr>
      <w:tr w:rsidR="000C4EBF">
        <w:tc>
          <w:tcPr>
            <w:tcW w:w="11486" w:type="dxa"/>
            <w:gridSpan w:val="5"/>
          </w:tcPr>
          <w:p w:rsidR="000C4EBF" w:rsidRDefault="000C4EBF">
            <w:pPr>
              <w:pStyle w:val="ConsPlusNormal"/>
            </w:pPr>
          </w:p>
        </w:tc>
      </w:tr>
    </w:tbl>
    <w:p w:rsidR="000C4EBF" w:rsidRDefault="000C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62"/>
        <w:gridCol w:w="907"/>
        <w:gridCol w:w="1949"/>
        <w:gridCol w:w="470"/>
        <w:gridCol w:w="2098"/>
        <w:gridCol w:w="944"/>
        <w:gridCol w:w="837"/>
        <w:gridCol w:w="770"/>
        <w:gridCol w:w="340"/>
      </w:tblGrid>
      <w:tr w:rsidR="000C4EBF">
        <w:tc>
          <w:tcPr>
            <w:tcW w:w="11477" w:type="dxa"/>
            <w:gridSpan w:val="9"/>
            <w:vAlign w:val="bottom"/>
          </w:tcPr>
          <w:p w:rsidR="000C4EBF" w:rsidRDefault="000C4EBF">
            <w:pPr>
              <w:pStyle w:val="ConsPlusNormal"/>
              <w:outlineLvl w:val="2"/>
            </w:pPr>
            <w:r>
              <w:t>Данные транспортного средства</w:t>
            </w:r>
          </w:p>
        </w:tc>
      </w:tr>
      <w:tr w:rsidR="000C4EBF">
        <w:tc>
          <w:tcPr>
            <w:tcW w:w="3162" w:type="dxa"/>
            <w:vAlign w:val="bottom"/>
          </w:tcPr>
          <w:p w:rsidR="000C4EBF" w:rsidRDefault="000C4EBF">
            <w:pPr>
              <w:pStyle w:val="ConsPlusNormal"/>
            </w:pPr>
            <w:r>
              <w:t>Масса без нагрузки:</w:t>
            </w:r>
          </w:p>
        </w:tc>
        <w:tc>
          <w:tcPr>
            <w:tcW w:w="2856" w:type="dxa"/>
            <w:gridSpan w:val="2"/>
          </w:tcPr>
          <w:p w:rsidR="000C4EBF" w:rsidRDefault="000C4EBF">
            <w:pPr>
              <w:pStyle w:val="ConsPlusNormal"/>
            </w:pPr>
          </w:p>
        </w:tc>
        <w:tc>
          <w:tcPr>
            <w:tcW w:w="4349" w:type="dxa"/>
            <w:gridSpan w:val="4"/>
            <w:vAlign w:val="bottom"/>
          </w:tcPr>
          <w:p w:rsidR="000C4EBF" w:rsidRDefault="000C4EBF">
            <w:pPr>
              <w:pStyle w:val="ConsPlusNormal"/>
            </w:pPr>
            <w:r>
              <w:t>Разрешенная максимальная масса:</w:t>
            </w:r>
          </w:p>
        </w:tc>
        <w:tc>
          <w:tcPr>
            <w:tcW w:w="1110" w:type="dxa"/>
            <w:gridSpan w:val="2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4069" w:type="dxa"/>
            <w:gridSpan w:val="2"/>
          </w:tcPr>
          <w:p w:rsidR="000C4EBF" w:rsidRDefault="000C4EBF">
            <w:pPr>
              <w:pStyle w:val="ConsPlusNormal"/>
              <w:jc w:val="both"/>
            </w:pPr>
            <w:r>
              <w:t>Тип тормозной системы:</w:t>
            </w:r>
          </w:p>
        </w:tc>
        <w:tc>
          <w:tcPr>
            <w:tcW w:w="194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512" w:type="dxa"/>
            <w:gridSpan w:val="3"/>
            <w:vAlign w:val="bottom"/>
          </w:tcPr>
          <w:p w:rsidR="000C4EBF" w:rsidRDefault="000C4EBF">
            <w:pPr>
              <w:pStyle w:val="ConsPlusNormal"/>
            </w:pPr>
            <w:r>
              <w:t>Подъемное устройство для инвалидной коляски:</w:t>
            </w:r>
          </w:p>
        </w:tc>
        <w:tc>
          <w:tcPr>
            <w:tcW w:w="1947" w:type="dxa"/>
            <w:gridSpan w:val="3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4069" w:type="dxa"/>
            <w:gridSpan w:val="2"/>
            <w:vAlign w:val="bottom"/>
          </w:tcPr>
          <w:p w:rsidR="000C4EBF" w:rsidRDefault="000C4EBF">
            <w:pPr>
              <w:pStyle w:val="ConsPlusNormal"/>
            </w:pPr>
            <w:r>
              <w:t>Наличие антиблокировочной системы торможения:</w:t>
            </w:r>
          </w:p>
        </w:tc>
        <w:tc>
          <w:tcPr>
            <w:tcW w:w="194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119" w:type="dxa"/>
            <w:gridSpan w:val="5"/>
          </w:tcPr>
          <w:p w:rsidR="000C4EBF" w:rsidRDefault="000C4EBF">
            <w:pPr>
              <w:pStyle w:val="ConsPlusNormal"/>
            </w:pPr>
            <w:r>
              <w:t>Расположение пола: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4069" w:type="dxa"/>
            <w:gridSpan w:val="2"/>
            <w:vAlign w:val="bottom"/>
          </w:tcPr>
          <w:p w:rsidR="000C4EBF" w:rsidRDefault="000C4EBF">
            <w:pPr>
              <w:pStyle w:val="ConsPlusNormal"/>
              <w:jc w:val="both"/>
            </w:pPr>
            <w:r>
              <w:t>Марка шин:</w:t>
            </w:r>
          </w:p>
        </w:tc>
        <w:tc>
          <w:tcPr>
            <w:tcW w:w="1949" w:type="dxa"/>
          </w:tcPr>
          <w:p w:rsidR="000C4EBF" w:rsidRDefault="000C4EBF">
            <w:pPr>
              <w:pStyle w:val="ConsPlusNormal"/>
            </w:pPr>
          </w:p>
        </w:tc>
        <w:tc>
          <w:tcPr>
            <w:tcW w:w="5119" w:type="dxa"/>
            <w:gridSpan w:val="5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6488" w:type="dxa"/>
            <w:gridSpan w:val="4"/>
            <w:vMerge w:val="restart"/>
            <w:vAlign w:val="bottom"/>
          </w:tcPr>
          <w:p w:rsidR="000C4EBF" w:rsidRDefault="000C4EBF">
            <w:pPr>
              <w:pStyle w:val="ConsPlusNormal"/>
            </w:pPr>
            <w:r>
              <w:t xml:space="preserve">Заключение о соответствии пли несоответствии транспортного </w:t>
            </w:r>
            <w:r>
              <w:lastRenderedPageBreak/>
              <w:t>средства обязательным требованиям безопасности транспортных средств (подтверждающее или не подтверждающее его допуск к участию в дорожном движении)</w:t>
            </w:r>
          </w:p>
        </w:tc>
        <w:tc>
          <w:tcPr>
            <w:tcW w:w="2098" w:type="dxa"/>
          </w:tcPr>
          <w:p w:rsidR="000C4EBF" w:rsidRDefault="000C4EBF">
            <w:pPr>
              <w:pStyle w:val="ConsPlusNormal"/>
            </w:pPr>
          </w:p>
        </w:tc>
        <w:tc>
          <w:tcPr>
            <w:tcW w:w="2551" w:type="dxa"/>
            <w:gridSpan w:val="3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6488" w:type="dxa"/>
            <w:gridSpan w:val="4"/>
            <w:vMerge/>
          </w:tcPr>
          <w:p w:rsidR="000C4EBF" w:rsidRDefault="000C4EBF"/>
        </w:tc>
        <w:tc>
          <w:tcPr>
            <w:tcW w:w="2098" w:type="dxa"/>
          </w:tcPr>
          <w:p w:rsidR="000C4EBF" w:rsidRDefault="000C4EBF">
            <w:pPr>
              <w:pStyle w:val="ConsPlusNormal"/>
              <w:jc w:val="center"/>
            </w:pPr>
            <w:r>
              <w:t>Соответствует</w:t>
            </w:r>
          </w:p>
        </w:tc>
        <w:tc>
          <w:tcPr>
            <w:tcW w:w="2551" w:type="dxa"/>
            <w:gridSpan w:val="3"/>
          </w:tcPr>
          <w:p w:rsidR="000C4EBF" w:rsidRDefault="000C4EBF">
            <w:pPr>
              <w:pStyle w:val="ConsPlusNormal"/>
              <w:jc w:val="center"/>
            </w:pPr>
            <w:r>
              <w:t>Не соответствует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6488" w:type="dxa"/>
            <w:gridSpan w:val="4"/>
          </w:tcPr>
          <w:p w:rsidR="000C4EBF" w:rsidRDefault="000C4EBF">
            <w:pPr>
              <w:pStyle w:val="ConsPlusNormal"/>
            </w:pPr>
          </w:p>
        </w:tc>
        <w:tc>
          <w:tcPr>
            <w:tcW w:w="2098" w:type="dxa"/>
          </w:tcPr>
          <w:p w:rsidR="000C4EBF" w:rsidRDefault="000C4EBF">
            <w:pPr>
              <w:pStyle w:val="ConsPlusNormal"/>
            </w:pPr>
          </w:p>
        </w:tc>
        <w:tc>
          <w:tcPr>
            <w:tcW w:w="2551" w:type="dxa"/>
            <w:gridSpan w:val="3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</w:tbl>
    <w:p w:rsidR="000C4EBF" w:rsidRDefault="000C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86"/>
        <w:gridCol w:w="4973"/>
      </w:tblGrid>
      <w:tr w:rsidR="000C4EBF">
        <w:tc>
          <w:tcPr>
            <w:tcW w:w="6486" w:type="dxa"/>
            <w:vAlign w:val="bottom"/>
          </w:tcPr>
          <w:p w:rsidR="000C4EBF" w:rsidRDefault="000C4EBF">
            <w:pPr>
              <w:pStyle w:val="ConsPlusNormal"/>
              <w:outlineLvl w:val="2"/>
            </w:pPr>
            <w:r>
              <w:t>Пункты диагностической карты, требующие повторной проверки:</w:t>
            </w:r>
          </w:p>
        </w:tc>
        <w:tc>
          <w:tcPr>
            <w:tcW w:w="497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6486" w:type="dxa"/>
          </w:tcPr>
          <w:p w:rsidR="000C4EBF" w:rsidRDefault="000C4EBF">
            <w:pPr>
              <w:pStyle w:val="ConsPlusNormal"/>
            </w:pPr>
          </w:p>
        </w:tc>
        <w:tc>
          <w:tcPr>
            <w:tcW w:w="497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6486" w:type="dxa"/>
          </w:tcPr>
          <w:p w:rsidR="000C4EBF" w:rsidRDefault="000C4EBF">
            <w:pPr>
              <w:pStyle w:val="ConsPlusNormal"/>
            </w:pPr>
          </w:p>
        </w:tc>
        <w:tc>
          <w:tcPr>
            <w:tcW w:w="4973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6486" w:type="dxa"/>
          </w:tcPr>
          <w:p w:rsidR="000C4EBF" w:rsidRDefault="000C4EBF">
            <w:pPr>
              <w:pStyle w:val="ConsPlusNormal"/>
            </w:pPr>
          </w:p>
        </w:tc>
        <w:tc>
          <w:tcPr>
            <w:tcW w:w="4973" w:type="dxa"/>
          </w:tcPr>
          <w:p w:rsidR="000C4EBF" w:rsidRDefault="000C4EBF">
            <w:pPr>
              <w:pStyle w:val="ConsPlusNormal"/>
            </w:pPr>
          </w:p>
        </w:tc>
      </w:tr>
    </w:tbl>
    <w:p w:rsidR="000C4EBF" w:rsidRDefault="000C4E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4762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C4EBF">
        <w:tc>
          <w:tcPr>
            <w:tcW w:w="567" w:type="dxa"/>
          </w:tcPr>
          <w:p w:rsidR="000C4EBF" w:rsidRDefault="000C4EBF">
            <w:pPr>
              <w:pStyle w:val="ConsPlusNormal"/>
            </w:pPr>
            <w:r>
              <w:t>Дата</w:t>
            </w: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4762" w:type="dxa"/>
          </w:tcPr>
          <w:p w:rsidR="000C4EBF" w:rsidRDefault="000C4EBF">
            <w:pPr>
              <w:pStyle w:val="ConsPlusNormal"/>
            </w:pPr>
            <w:r>
              <w:t xml:space="preserve">Повторный технический осмотр провести </w:t>
            </w:r>
            <w:proofErr w:type="gramStart"/>
            <w:r>
              <w:t>до</w:t>
            </w:r>
            <w:proofErr w:type="gramEnd"/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  <w:tc>
          <w:tcPr>
            <w:tcW w:w="340" w:type="dxa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1449" w:type="dxa"/>
            <w:gridSpan w:val="20"/>
          </w:tcPr>
          <w:p w:rsidR="000C4EBF" w:rsidRDefault="000C4EBF">
            <w:pPr>
              <w:pStyle w:val="ConsPlusNormal"/>
            </w:pPr>
          </w:p>
        </w:tc>
      </w:tr>
      <w:tr w:rsidR="000C4EBF">
        <w:tc>
          <w:tcPr>
            <w:tcW w:w="11449" w:type="dxa"/>
            <w:gridSpan w:val="20"/>
          </w:tcPr>
          <w:p w:rsidR="000C4EBF" w:rsidRDefault="000C4EBF">
            <w:pPr>
              <w:pStyle w:val="ConsPlusNormal"/>
            </w:pPr>
            <w:r>
              <w:t>Ф.И.О. технического эксперта</w:t>
            </w:r>
          </w:p>
        </w:tc>
      </w:tr>
      <w:tr w:rsidR="000C4EBF">
        <w:tc>
          <w:tcPr>
            <w:tcW w:w="2947" w:type="dxa"/>
            <w:gridSpan w:val="8"/>
          </w:tcPr>
          <w:p w:rsidR="000C4EBF" w:rsidRDefault="000C4EBF">
            <w:pPr>
              <w:pStyle w:val="ConsPlusNormal"/>
            </w:pPr>
            <w:r>
              <w:t>Подпись</w:t>
            </w:r>
          </w:p>
        </w:tc>
        <w:tc>
          <w:tcPr>
            <w:tcW w:w="8502" w:type="dxa"/>
            <w:gridSpan w:val="12"/>
          </w:tcPr>
          <w:p w:rsidR="000C4EBF" w:rsidRDefault="000C4EBF">
            <w:pPr>
              <w:pStyle w:val="ConsPlusNormal"/>
            </w:pPr>
            <w:r>
              <w:t xml:space="preserve">Печать </w:t>
            </w:r>
            <w:hyperlink w:anchor="P612" w:history="1">
              <w:r>
                <w:rPr>
                  <w:color w:val="0000FF"/>
                </w:rPr>
                <w:t>&lt;*&gt;</w:t>
              </w:r>
            </w:hyperlink>
          </w:p>
        </w:tc>
      </w:tr>
    </w:tbl>
    <w:p w:rsidR="000C4EBF" w:rsidRDefault="000C4EBF">
      <w:pPr>
        <w:sectPr w:rsidR="000C4EB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ind w:firstLine="540"/>
        <w:jc w:val="both"/>
      </w:pPr>
      <w:r>
        <w:t>--------------------------------</w:t>
      </w:r>
    </w:p>
    <w:p w:rsidR="000C4EBF" w:rsidRDefault="000C4EBF">
      <w:pPr>
        <w:pStyle w:val="ConsPlusNormal"/>
        <w:spacing w:before="220"/>
        <w:ind w:firstLine="540"/>
        <w:jc w:val="both"/>
      </w:pPr>
      <w:bookmarkStart w:id="6" w:name="P612"/>
      <w:bookmarkEnd w:id="6"/>
      <w:r>
        <w:t>&lt;*&gt; Печать оператора технического осмотра проставляется в случае выдачи диагностической карты на бумажном носителе.</w:t>
      </w: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jc w:val="both"/>
      </w:pPr>
    </w:p>
    <w:p w:rsidR="000C4EBF" w:rsidRDefault="000C4E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7FD" w:rsidRDefault="00E477FD"/>
    <w:sectPr w:rsidR="00E477FD" w:rsidSect="0048136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EBF"/>
    <w:rsid w:val="00041C6D"/>
    <w:rsid w:val="000C4EBF"/>
    <w:rsid w:val="00DC146C"/>
    <w:rsid w:val="00E47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4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4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4E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4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4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4E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E57E827F94683EF4A27E339949AF5DB90532CD2D8958211F062026983707EAE53CD28E4C15FEF4E83E3EFADDD0FF52BC570F1A0FE286E6AoEY6J" TargetMode="External"/><Relationship Id="rId18" Type="http://schemas.openxmlformats.org/officeDocument/2006/relationships/hyperlink" Target="consultantplus://offline/ref=4E57E827F94683EF4A27E339949AF5DB90532CD2D8958211F062026983707EAE53CD28E4C15FEE4F85E3EFADDD0FF52BC570F1A0FE286E6AoEY6J" TargetMode="External"/><Relationship Id="rId26" Type="http://schemas.openxmlformats.org/officeDocument/2006/relationships/hyperlink" Target="consultantplus://offline/ref=4E57E827F94683EF4A27E339949AF5DB90532CD2D8958211F062026983707EAE53CD28E0C45FE41BD5ACEEF19959E62BC570F3A3E2o2YBJ" TargetMode="External"/><Relationship Id="rId39" Type="http://schemas.openxmlformats.org/officeDocument/2006/relationships/hyperlink" Target="consultantplus://offline/ref=4E57E827F94683EF4A27E339949AF5DB90532CD2D8958211F062026983707EAE53CD28E4C15FED4E8DE3EFADDD0FF52BC570F1A0FE286E6AoEY6J" TargetMode="External"/><Relationship Id="rId21" Type="http://schemas.openxmlformats.org/officeDocument/2006/relationships/hyperlink" Target="consultantplus://offline/ref=4E57E827F94683EF4A27E339949AF5DB90532CD2D8958211F062026983707EAE53CD28E4C15FEE4E8DE3EFADDD0FF52BC570F1A0FE286E6AoEY6J" TargetMode="External"/><Relationship Id="rId34" Type="http://schemas.openxmlformats.org/officeDocument/2006/relationships/hyperlink" Target="consultantplus://offline/ref=4E57E827F94683EF4A27E339949AF5DB90532CD2D8958211F062026983707EAE53CD28E4C15FEE4B8CE3EFADDD0FF52BC570F1A0FE286E6AoEY6J" TargetMode="External"/><Relationship Id="rId42" Type="http://schemas.openxmlformats.org/officeDocument/2006/relationships/hyperlink" Target="consultantplus://offline/ref=4E57E827F94683EF4A27E339949AF5DB90532CD2D8958211F062026983707EAE53CD28E4C15FED4E81E3EFADDD0FF52BC570F1A0FE286E6AoEY6J" TargetMode="External"/><Relationship Id="rId47" Type="http://schemas.openxmlformats.org/officeDocument/2006/relationships/hyperlink" Target="consultantplus://offline/ref=4E57E827F94683EF4A27E339949AF5DB90532CD2D8958211F062026983707EAE53CD28E4C15FEB4685E3EFADDD0FF52BC570F1A0FE286E6AoEY6J" TargetMode="External"/><Relationship Id="rId50" Type="http://schemas.openxmlformats.org/officeDocument/2006/relationships/hyperlink" Target="consultantplus://offline/ref=4E57E827F94683EF4A27E339949AF5DB90532CD2D8958211F062026983707EAE53CD28E4C15FEA4E80E3EFADDD0FF52BC570F1A0FE286E6AoEY6J" TargetMode="External"/><Relationship Id="rId55" Type="http://schemas.openxmlformats.org/officeDocument/2006/relationships/hyperlink" Target="consultantplus://offline/ref=4E57E827F94683EF4A27E339949AF5DB90532CD2D8958211F062026983707EAE53CD28E4C15FE94684E3EFADDD0FF52BC570F1A0FE286E6AoEY6J" TargetMode="External"/><Relationship Id="rId63" Type="http://schemas.openxmlformats.org/officeDocument/2006/relationships/hyperlink" Target="consultantplus://offline/ref=4E57E827F94683EF4A27E339949AF5DB90542AD1D99F8211F062026983707EAE41CD70E8C15FF14F87F6B9FC9Bo5YBJ" TargetMode="External"/><Relationship Id="rId68" Type="http://schemas.openxmlformats.org/officeDocument/2006/relationships/hyperlink" Target="consultantplus://offline/ref=4E57E827F94683EF4A27E02C8D9AF5DB915123DFDBC0D513A1370C6C8B2024BE458425E6DF5CEC5186E8B9oFYDJ" TargetMode="External"/><Relationship Id="rId7" Type="http://schemas.openxmlformats.org/officeDocument/2006/relationships/hyperlink" Target="consultantplus://offline/ref=4E57E827F94683EF4A27E339949AF5DB905222D1D1958211F062026983707EAE53CD28E4C15CEF4886E3EFADDD0FF52BC570F1A0FE286E6AoEY6J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E57E827F94683EF4A27E339949AF5DB90532CD2D8958211F062026983707EAE53CD28E4C15FEF4886E3EFADDD0FF52BC570F1A0FE286E6AoEY6J" TargetMode="External"/><Relationship Id="rId29" Type="http://schemas.openxmlformats.org/officeDocument/2006/relationships/hyperlink" Target="consultantplus://offline/ref=4E57E827F94683EF4A27E339949AF5DB90532CD2D8958211F062026983707EAE53CD28E4C15FEE4A8CE3EFADDD0FF52BC570F1A0FE286E6AoEY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E57E827F94683EF4A27E339949AF5DB905222D1D1958211F062026983707EAE41CD70E8C15FF14F87F6B9FC9Bo5YBJ" TargetMode="External"/><Relationship Id="rId11" Type="http://schemas.openxmlformats.org/officeDocument/2006/relationships/hyperlink" Target="consultantplus://offline/ref=4E57E827F94683EF4A27E339949AF5DB90572CD2D8938211F062026983707EAE53CD28E7C95BEB44D0B9FFA9945AFB35C66DEFA1E028o6YFJ" TargetMode="External"/><Relationship Id="rId24" Type="http://schemas.openxmlformats.org/officeDocument/2006/relationships/hyperlink" Target="consultantplus://offline/ref=4E57E827F94683EF4A27E339949AF5DB90532CD2D8958211F062026983707EAE53CD28E4C15CEF4C82E3EFADDD0FF52BC570F1A0FE286E6AoEY6J" TargetMode="External"/><Relationship Id="rId32" Type="http://schemas.openxmlformats.org/officeDocument/2006/relationships/hyperlink" Target="consultantplus://offline/ref=4E57E827F94683EF4A27E339949AF5DB90532CD2D8958211F062026983707EAE53CD28E4C15FEE4B81E3EFADDD0FF52BC570F1A0FE286E6AoEY6J" TargetMode="External"/><Relationship Id="rId37" Type="http://schemas.openxmlformats.org/officeDocument/2006/relationships/hyperlink" Target="consultantplus://offline/ref=4E57E827F94683EF4A27E339949AF5DB90532CD2D8958211F062026983707EAE53CD28E4C15FEC4787E3EFADDD0FF52BC570F1A0FE286E6AoEY6J" TargetMode="External"/><Relationship Id="rId40" Type="http://schemas.openxmlformats.org/officeDocument/2006/relationships/hyperlink" Target="consultantplus://offline/ref=4E57E827F94683EF4A27E339949AF5DB90532CD2D8958211F062026983707EAE53CD28E4C15FED4F8CE3EFADDD0FF52BC570F1A0FE286E6AoEY6J" TargetMode="External"/><Relationship Id="rId45" Type="http://schemas.openxmlformats.org/officeDocument/2006/relationships/hyperlink" Target="consultantplus://offline/ref=4E57E827F94683EF4A27E339949AF5DB90532CD2D8958211F062026983707EAE53CD28E4C15FEA4C86E3EFADDD0FF52BC570F1A0FE286E6AoEY6J" TargetMode="External"/><Relationship Id="rId53" Type="http://schemas.openxmlformats.org/officeDocument/2006/relationships/hyperlink" Target="consultantplus://offline/ref=4E57E827F94683EF4A27E339949AF5DB90532CD2D8958211F062026983707EAE53CD28E4C15FEA4F85E3EFADDD0FF52BC570F1A0FE286E6AoEY6J" TargetMode="External"/><Relationship Id="rId58" Type="http://schemas.openxmlformats.org/officeDocument/2006/relationships/hyperlink" Target="consultantplus://offline/ref=4E57E827F94683EF4A27E339949AF5DB91502AD4D19E8211F062026983707EAE53CD28E4C15CEB488DE3EFADDD0FF52BC570F1A0FE286E6AoEY6J" TargetMode="External"/><Relationship Id="rId66" Type="http://schemas.openxmlformats.org/officeDocument/2006/relationships/hyperlink" Target="consultantplus://offline/ref=4E57E827F94683EF4A27E339949AF5DB90532CD2D8958211F062026983707EAE53CD28E4C15FE94683E3EFADDD0FF52BC570F1A0FE286E6AoEY6J" TargetMode="External"/><Relationship Id="rId5" Type="http://schemas.openxmlformats.org/officeDocument/2006/relationships/hyperlink" Target="consultantplus://offline/ref=4E57E827F94683EF4A27E339949AF5DB905522D5D0978211F062026983707EAE41CD70E8C15FF14F87F6B9FC9Bo5YBJ" TargetMode="External"/><Relationship Id="rId15" Type="http://schemas.openxmlformats.org/officeDocument/2006/relationships/hyperlink" Target="consultantplus://offline/ref=4E57E827F94683EF4A27E339949AF5DB90532CD2D8958211F062026983707EAE53CD28E4C15FEF4782E3EFADDD0FF52BC570F1A0FE286E6AoEY6J" TargetMode="External"/><Relationship Id="rId23" Type="http://schemas.openxmlformats.org/officeDocument/2006/relationships/hyperlink" Target="consultantplus://offline/ref=4E57E827F94683EF4A27E339949AF5DB90532CD2D8958211F062026983707EAE53CD28E4C15FEE4D81E3EFADDD0FF52BC570F1A0FE286E6AoEY6J" TargetMode="External"/><Relationship Id="rId28" Type="http://schemas.openxmlformats.org/officeDocument/2006/relationships/hyperlink" Target="consultantplus://offline/ref=4E57E827F94683EF4A27E339949AF5DB90532CD2D8958211F062026983707EAE53CD28E4C15CEF4C82E3EFADDD0FF52BC570F1A0FE286E6AoEY6J" TargetMode="External"/><Relationship Id="rId36" Type="http://schemas.openxmlformats.org/officeDocument/2006/relationships/hyperlink" Target="consultantplus://offline/ref=4E57E827F94683EF4A27E339949AF5DB90532CD2D8958211F062026983707EAE53CD28E4C15FED4E83E3EFADDD0FF52BC570F1A0FE286E6AoEY6J" TargetMode="External"/><Relationship Id="rId49" Type="http://schemas.openxmlformats.org/officeDocument/2006/relationships/hyperlink" Target="consultantplus://offline/ref=4E57E827F94683EF4A27E339949AF5DB90532CD2D8958211F062026983707EAE53CD28E0C254E41BD5ACEEF19959E62BC570F3A3E2o2YBJ" TargetMode="External"/><Relationship Id="rId57" Type="http://schemas.openxmlformats.org/officeDocument/2006/relationships/hyperlink" Target="consultantplus://offline/ref=4E57E827F94683EF4A27E339949AF5DB90532CD2D8958211F062026983707EAE53CD28E4C15FE94786E3EFADDD0FF52BC570F1A0FE286E6AoEY6J" TargetMode="External"/><Relationship Id="rId61" Type="http://schemas.openxmlformats.org/officeDocument/2006/relationships/hyperlink" Target="consultantplus://offline/ref=4E57E827F94683EF4A27E339949AF5DB90532CD2D8958211F062026983707EAE53CD28E3C35AE41BD5ACEEF19959E62BC570F3A3E2o2YBJ" TargetMode="External"/><Relationship Id="rId10" Type="http://schemas.openxmlformats.org/officeDocument/2006/relationships/hyperlink" Target="consultantplus://offline/ref=4E57E827F94683EF4A27E339949AF5DB905222D1D1958211F062026983707EAE53CD28E4C558E41BD5ACEEF19959E62BC570F3A3E2o2YBJ" TargetMode="External"/><Relationship Id="rId19" Type="http://schemas.openxmlformats.org/officeDocument/2006/relationships/hyperlink" Target="consultantplus://offline/ref=4E57E827F94683EF4A27E339949AF5DB90532CD2D8958211F062026983707EAE53CD28E4C15FEE4F8DE3EFADDD0FF52BC570F1A0FE286E6AoEY6J" TargetMode="External"/><Relationship Id="rId31" Type="http://schemas.openxmlformats.org/officeDocument/2006/relationships/hyperlink" Target="consultantplus://offline/ref=4E57E827F94683EF4A27E339949AF5DB90532CD2D8958211F062026983707EAE53CD28E4C15FEF4E85E3EFADDD0FF52BC570F1A0FE286E6AoEY6J" TargetMode="External"/><Relationship Id="rId44" Type="http://schemas.openxmlformats.org/officeDocument/2006/relationships/hyperlink" Target="consultantplus://offline/ref=4E57E827F94683EF4A27E339949AF5DB90532CD2D8958211F062026983707EAE53CD28E4C15FEA4C85E3EFADDD0FF52BC570F1A0FE286E6AoEY6J" TargetMode="External"/><Relationship Id="rId52" Type="http://schemas.openxmlformats.org/officeDocument/2006/relationships/hyperlink" Target="consultantplus://offline/ref=4E57E827F94683EF4A27E339949AF5DB90532CD2D8958211F062026983707EAE53CD28E4C15FEA4E82E3EFADDD0FF52BC570F1A0FE286E6AoEY6J" TargetMode="External"/><Relationship Id="rId60" Type="http://schemas.openxmlformats.org/officeDocument/2006/relationships/hyperlink" Target="consultantplus://offline/ref=4E57E827F94683EF4A27E339949AF5DB90532CD2D8958211F062026983707EAE53CD28E4C15FE94685E3EFADDD0FF52BC570F1A0FE286E6AoEY6J" TargetMode="External"/><Relationship Id="rId65" Type="http://schemas.openxmlformats.org/officeDocument/2006/relationships/hyperlink" Target="consultantplus://offline/ref=4E57E827F94683EF4A27E339949AF5DB90532CD2D8958211F062026983707EAE53CD28E4C15FE94680E3EFADDD0FF52BC570F1A0FE286E6AoEY6J" TargetMode="External"/><Relationship Id="rId4" Type="http://schemas.openxmlformats.org/officeDocument/2006/relationships/hyperlink" Target="consultantplus://offline/ref=4E57E827F94683EF4A27E339949AF5DB905222D1D1958211F062026983707EAE53CD28E7C357BB1EC0BDB6FC9A44F828D86CF1A1oEY1J" TargetMode="External"/><Relationship Id="rId9" Type="http://schemas.openxmlformats.org/officeDocument/2006/relationships/hyperlink" Target="consultantplus://offline/ref=4E57E827F94683EF4A27E339949AF5DB905222D1D1958211F062026983707EAE53CD28E4C15CEE468DE3EFADDD0FF52BC570F1A0FE286E6AoEY6J" TargetMode="External"/><Relationship Id="rId14" Type="http://schemas.openxmlformats.org/officeDocument/2006/relationships/hyperlink" Target="consultantplus://offline/ref=4E57E827F94683EF4A27E339949AF5DB90532CD2D8958211F062026983707EAE53CD28E4C15FEF4883E3EFADDD0FF52BC570F1A0FE286E6AoEY6J" TargetMode="External"/><Relationship Id="rId22" Type="http://schemas.openxmlformats.org/officeDocument/2006/relationships/hyperlink" Target="consultantplus://offline/ref=4E57E827F94683EF4A27E339949AF5DB90532CD2D8958211F062026983707EAE53CD28E4C15FEE4B86E3EFADDD0FF52BC570F1A0FE286E6AoEY6J" TargetMode="External"/><Relationship Id="rId27" Type="http://schemas.openxmlformats.org/officeDocument/2006/relationships/hyperlink" Target="consultantplus://offline/ref=4E57E827F94683EF4A27E339949AF5DB90532CD2D8958211F062026983707EAE53CD28E4C15FEE4682E3EFADDD0FF52BC570F1A0FE286E6AoEY6J" TargetMode="External"/><Relationship Id="rId30" Type="http://schemas.openxmlformats.org/officeDocument/2006/relationships/hyperlink" Target="consultantplus://offline/ref=4E57E827F94683EF4A27E339949AF5DB90532CD2D8958211F062026983707EAE53CD28E1C659E41BD5ACEEF19959E62BC570F3A3E2o2YBJ" TargetMode="External"/><Relationship Id="rId35" Type="http://schemas.openxmlformats.org/officeDocument/2006/relationships/hyperlink" Target="consultantplus://offline/ref=4E57E827F94683EF4A27E339949AF5DB90532CD2D8958211F062026983707EAE53CD28E4C15FED4E82E3EFADDD0FF52BC570F1A0FE286E6AoEY6J" TargetMode="External"/><Relationship Id="rId43" Type="http://schemas.openxmlformats.org/officeDocument/2006/relationships/hyperlink" Target="consultantplus://offline/ref=4E57E827F94683EF4A27E339949AF5DB90532CD2D8958211F062026983707EAE53CD28E4C15FEB478DE3EFADDD0FF52BC570F1A0FE286E6AoEY6J" TargetMode="External"/><Relationship Id="rId48" Type="http://schemas.openxmlformats.org/officeDocument/2006/relationships/hyperlink" Target="consultantplus://offline/ref=4E57E827F94683EF4A27E339949AF5DB905628D1D1938211F062026983707EAE53CD28E4C15CE74786E3EFADDD0FF52BC570F1A0FE286E6AoEY6J" TargetMode="External"/><Relationship Id="rId56" Type="http://schemas.openxmlformats.org/officeDocument/2006/relationships/hyperlink" Target="consultantplus://offline/ref=4E57E827F94683EF4A27E339949AF5DB90532CD2D8958211F062026983707EAE53CD28E4C15FE94682E3EFADDD0FF52BC570F1A0FE286E6AoEY6J" TargetMode="External"/><Relationship Id="rId64" Type="http://schemas.openxmlformats.org/officeDocument/2006/relationships/hyperlink" Target="consultantplus://offline/ref=4E57E827F94683EF4A27E339949AF5DB90532CD2D8958211F062026983707EAE53CD28E4C15FE94687E3EFADDD0FF52BC570F1A0FE286E6AoEY6J" TargetMode="External"/><Relationship Id="rId69" Type="http://schemas.openxmlformats.org/officeDocument/2006/relationships/image" Target="media/image1.wmf"/><Relationship Id="rId8" Type="http://schemas.openxmlformats.org/officeDocument/2006/relationships/hyperlink" Target="consultantplus://offline/ref=4E57E827F94683EF4A27E339949AF5DB905722DED6978211F062026983707EAE53CD28E4C15CEF4780E3EFADDD0FF52BC570F1A0FE286E6AoEY6J" TargetMode="External"/><Relationship Id="rId51" Type="http://schemas.openxmlformats.org/officeDocument/2006/relationships/hyperlink" Target="consultantplus://offline/ref=4E57E827F94683EF4A27E339949AF5DB90532CD2D8958211F062026983707EAE53CD28E4C15FEA4E81E3EFADDD0FF52BC570F1A0FE286E6AoEY6J" TargetMode="External"/><Relationship Id="rId72" Type="http://schemas.microsoft.com/office/2007/relationships/stylesWithEffects" Target="stylesWithEffects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E57E827F94683EF4A27E339949AF5DB90532CD2D8958211F062026983707EAE53CD28E4C15FEF4E80E3EFADDD0FF52BC570F1A0FE286E6AoEY6J" TargetMode="External"/><Relationship Id="rId17" Type="http://schemas.openxmlformats.org/officeDocument/2006/relationships/hyperlink" Target="consultantplus://offline/ref=4E57E827F94683EF4A27E339949AF5DB90532CD2D8958211F062026983707EAE53CD28E4C15FEF4685E3EFADDD0FF52BC570F1A0FE286E6AoEY6J" TargetMode="External"/><Relationship Id="rId25" Type="http://schemas.openxmlformats.org/officeDocument/2006/relationships/hyperlink" Target="consultantplus://offline/ref=4E57E827F94683EF4A27E339949AF5DB90532CD2D8958211F062026983707EAE53CD28E4C15CEF4C82E3EFADDD0FF52BC570F1A0FE286E6AoEY6J" TargetMode="External"/><Relationship Id="rId33" Type="http://schemas.openxmlformats.org/officeDocument/2006/relationships/hyperlink" Target="consultantplus://offline/ref=4E57E827F94683EF4A27E339949AF5DB90532CD2D8958211F062026983707EAE53CD28E4C15FEE4B83E3EFADDD0FF52BC570F1A0FE286E6AoEY6J" TargetMode="External"/><Relationship Id="rId38" Type="http://schemas.openxmlformats.org/officeDocument/2006/relationships/hyperlink" Target="consultantplus://offline/ref=4E57E827F94683EF4A27E339949AF5DB90532CD2D8958211F062026983707EAE53CD28E4C15FEC4680E3EFADDD0FF52BC570F1A0FE286E6AoEY6J" TargetMode="External"/><Relationship Id="rId46" Type="http://schemas.openxmlformats.org/officeDocument/2006/relationships/hyperlink" Target="consultantplus://offline/ref=4E57E827F94683EF4A27E339949AF5DB90532CD2D8958211F062026983707EAE53CD28E4C15FEA4C85E3EFADDD0FF52BC570F1A0FE286E6AoEY6J" TargetMode="External"/><Relationship Id="rId59" Type="http://schemas.openxmlformats.org/officeDocument/2006/relationships/hyperlink" Target="consultantplus://offline/ref=4E57E827F94683EF4A27E339949AF5DB90532CD2D8958211F062026983707EAE53CD28E4C15FEF4E85E3EFADDD0FF52BC570F1A0FE286E6AoEY6J" TargetMode="External"/><Relationship Id="rId67" Type="http://schemas.openxmlformats.org/officeDocument/2006/relationships/hyperlink" Target="consultantplus://offline/ref=4E57E827F94683EF4A27E02C8D9AF5DB915123DFDBC0D513A1370C6C8B2024BE458425E6DF5CEC5186E8B9oFYDJ" TargetMode="External"/><Relationship Id="rId20" Type="http://schemas.openxmlformats.org/officeDocument/2006/relationships/hyperlink" Target="consultantplus://offline/ref=4E57E827F94683EF4A27E339949AF5DB90532CD2D8958211F062026983707EAE53CD28E4C15FEE4E83E3EFADDD0FF52BC570F1A0FE286E6AoEY6J" TargetMode="External"/><Relationship Id="rId41" Type="http://schemas.openxmlformats.org/officeDocument/2006/relationships/hyperlink" Target="consultantplus://offline/ref=4E57E827F94683EF4A27E339949AF5DB90532CD2D8958211F062026983707EAE53CD28E1C859E41BD5ACEEF19959E62BC570F3A3E2o2YBJ" TargetMode="External"/><Relationship Id="rId54" Type="http://schemas.openxmlformats.org/officeDocument/2006/relationships/hyperlink" Target="consultantplus://offline/ref=4E57E827F94683EF4A27E339949AF5DB90532CD2D8958211F062026983707EAE53CD28E4C15FE94780E3EFADDD0FF52BC570F1A0FE286E6AoEY6J" TargetMode="External"/><Relationship Id="rId62" Type="http://schemas.openxmlformats.org/officeDocument/2006/relationships/hyperlink" Target="consultantplus://offline/ref=4E57E827F94683EF4A27E339949AF5DB90532CD2D8958211F062026983707EAE53CD28E4C15CEB498CE3EFADDD0FF52BC570F1A0FE286E6AoEY6J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6892</Words>
  <Characters>39289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Шелест Анастасия Леонидовна</dc:creator>
  <cp:lastModifiedBy>ADMIN</cp:lastModifiedBy>
  <cp:revision>2</cp:revision>
  <dcterms:created xsi:type="dcterms:W3CDTF">2022-01-19T14:05:00Z</dcterms:created>
  <dcterms:modified xsi:type="dcterms:W3CDTF">2022-01-19T14:05:00Z</dcterms:modified>
</cp:coreProperties>
</file>